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339" w:rsidRPr="000D0339" w:rsidRDefault="000D0339" w:rsidP="000D0339">
      <w:pPr>
        <w:jc w:val="center"/>
        <w:rPr>
          <w:rFonts w:eastAsia="Times New Roman"/>
          <w:sz w:val="22"/>
          <w:szCs w:val="20"/>
        </w:rPr>
      </w:pPr>
      <w:r w:rsidRPr="000D0339">
        <w:rPr>
          <w:rFonts w:eastAsia="Times New Roman"/>
          <w:sz w:val="22"/>
          <w:szCs w:val="20"/>
        </w:rPr>
        <w:t>Noti</w:t>
      </w:r>
      <w:r>
        <w:rPr>
          <w:rFonts w:eastAsia="Times New Roman"/>
          <w:sz w:val="22"/>
          <w:szCs w:val="20"/>
        </w:rPr>
        <w:t>ce of Development of Rulemaking</w:t>
      </w:r>
    </w:p>
    <w:p w:rsidR="000D0339" w:rsidRPr="007E74BD" w:rsidRDefault="000D0339" w:rsidP="000D0339">
      <w:pPr>
        <w:rPr>
          <w:rFonts w:eastAsia="Times New Roman"/>
          <w:szCs w:val="20"/>
        </w:rPr>
      </w:pPr>
    </w:p>
    <w:p w:rsidR="000D0339" w:rsidRPr="00BA6D38" w:rsidRDefault="000D0339" w:rsidP="000D0339">
      <w:pPr>
        <w:autoSpaceDE w:val="0"/>
        <w:autoSpaceDN w:val="0"/>
        <w:adjustRightInd w:val="0"/>
        <w:rPr>
          <w:b/>
          <w:szCs w:val="20"/>
        </w:rPr>
      </w:pPr>
      <w:r w:rsidRPr="00BA6D38">
        <w:rPr>
          <w:b/>
          <w:szCs w:val="20"/>
        </w:rPr>
        <w:t>DEPARTMENT OF ENVIRONMENTAL PROTECTION</w:t>
      </w:r>
    </w:p>
    <w:p w:rsidR="000D0339" w:rsidRPr="00BA6D38" w:rsidRDefault="000D0339" w:rsidP="000D0339">
      <w:pPr>
        <w:autoSpaceDE w:val="0"/>
        <w:autoSpaceDN w:val="0"/>
        <w:adjustRightInd w:val="0"/>
        <w:rPr>
          <w:b/>
          <w:szCs w:val="20"/>
        </w:rPr>
      </w:pPr>
      <w:r w:rsidRPr="00BA6D38">
        <w:rPr>
          <w:b/>
          <w:szCs w:val="20"/>
        </w:rPr>
        <w:t>Division of Air Resource Management</w:t>
      </w:r>
    </w:p>
    <w:p w:rsidR="000D0339" w:rsidRPr="00BA6D38" w:rsidRDefault="000D0339" w:rsidP="000D0339">
      <w:pPr>
        <w:tabs>
          <w:tab w:val="left" w:pos="1440"/>
          <w:tab w:val="right" w:pos="9360"/>
        </w:tabs>
        <w:spacing w:line="264" w:lineRule="auto"/>
        <w:jc w:val="both"/>
        <w:rPr>
          <w:rFonts w:eastAsia="Times New Roman"/>
          <w:szCs w:val="20"/>
        </w:rPr>
      </w:pPr>
      <w:r w:rsidRPr="00BA6D38">
        <w:rPr>
          <w:szCs w:val="20"/>
        </w:rPr>
        <w:t>RULE NOS.:</w:t>
      </w:r>
      <w:r w:rsidRPr="00BA6D38">
        <w:rPr>
          <w:szCs w:val="20"/>
        </w:rPr>
        <w:tab/>
        <w:t>RULE TITLES:</w:t>
      </w:r>
    </w:p>
    <w:p w:rsidR="000D0339" w:rsidRPr="00BA6D38" w:rsidRDefault="000D0339" w:rsidP="000D0339">
      <w:pPr>
        <w:tabs>
          <w:tab w:val="left" w:pos="1440"/>
          <w:tab w:val="right" w:pos="9360"/>
        </w:tabs>
        <w:spacing w:line="264" w:lineRule="auto"/>
        <w:jc w:val="both"/>
        <w:rPr>
          <w:rFonts w:eastAsia="Times New Roman"/>
          <w:szCs w:val="20"/>
        </w:rPr>
      </w:pPr>
      <w:bookmarkStart w:id="0" w:name="_GoBack"/>
      <w:r w:rsidRPr="00BA6D38">
        <w:rPr>
          <w:rFonts w:eastAsia="Times New Roman"/>
          <w:szCs w:val="20"/>
        </w:rPr>
        <w:t>62-210.200</w:t>
      </w:r>
      <w:r w:rsidRPr="00BA6D38">
        <w:rPr>
          <w:rFonts w:eastAsia="Times New Roman"/>
          <w:szCs w:val="20"/>
        </w:rPr>
        <w:tab/>
        <w:t>Definitions</w:t>
      </w:r>
    </w:p>
    <w:p w:rsidR="000D0339" w:rsidRPr="00BA6D38" w:rsidRDefault="000D0339" w:rsidP="000D0339">
      <w:pPr>
        <w:tabs>
          <w:tab w:val="left" w:pos="1440"/>
          <w:tab w:val="right" w:pos="9360"/>
        </w:tabs>
        <w:spacing w:line="264" w:lineRule="auto"/>
        <w:jc w:val="both"/>
        <w:rPr>
          <w:szCs w:val="20"/>
        </w:rPr>
      </w:pPr>
      <w:hyperlink r:id="rId6" w:tgtFrame="ruleNo" w:history="1">
        <w:r w:rsidRPr="00BA6D38">
          <w:rPr>
            <w:rFonts w:eastAsia="Times New Roman"/>
            <w:szCs w:val="20"/>
          </w:rPr>
          <w:t>62-210.</w:t>
        </w:r>
      </w:hyperlink>
      <w:r w:rsidRPr="00BA6D38">
        <w:rPr>
          <w:rFonts w:eastAsia="Times New Roman"/>
          <w:szCs w:val="20"/>
        </w:rPr>
        <w:t xml:space="preserve">300 </w:t>
      </w:r>
      <w:r w:rsidRPr="00BA6D38">
        <w:rPr>
          <w:rFonts w:eastAsia="Times New Roman"/>
          <w:szCs w:val="20"/>
        </w:rPr>
        <w:tab/>
        <w:t>Permits Required</w:t>
      </w:r>
    </w:p>
    <w:p w:rsidR="000D0339" w:rsidRPr="00BA6D38" w:rsidRDefault="000D0339" w:rsidP="000D0339">
      <w:pPr>
        <w:spacing w:line="264" w:lineRule="auto"/>
        <w:jc w:val="both"/>
        <w:rPr>
          <w:rFonts w:eastAsia="Times New Roman"/>
          <w:szCs w:val="20"/>
        </w:rPr>
      </w:pPr>
      <w:hyperlink r:id="rId7" w:tooltip="Hyperlink to 62-296.418" w:history="1">
        <w:r w:rsidRPr="00BA6D38">
          <w:rPr>
            <w:rStyle w:val="Hyperlink"/>
            <w:rFonts w:eastAsia="Times New Roman"/>
            <w:color w:val="auto"/>
            <w:szCs w:val="20"/>
            <w:u w:val="none"/>
          </w:rPr>
          <w:t>62-2</w:t>
        </w:r>
        <w:r w:rsidRPr="00BA6D38">
          <w:rPr>
            <w:rStyle w:val="Hyperlink"/>
            <w:rFonts w:eastAsia="Times New Roman"/>
            <w:color w:val="auto"/>
            <w:szCs w:val="20"/>
            <w:u w:val="none"/>
          </w:rPr>
          <w:t>10.</w:t>
        </w:r>
      </w:hyperlink>
      <w:r w:rsidRPr="00BA6D38">
        <w:rPr>
          <w:rFonts w:eastAsia="Times New Roman"/>
          <w:szCs w:val="20"/>
        </w:rPr>
        <w:t xml:space="preserve">310 </w:t>
      </w:r>
      <w:r w:rsidRPr="00BA6D38">
        <w:rPr>
          <w:rFonts w:eastAsia="Times New Roman"/>
          <w:szCs w:val="20"/>
        </w:rPr>
        <w:tab/>
      </w:r>
      <w:r w:rsidR="00BA6D38">
        <w:rPr>
          <w:rFonts w:eastAsia="Times New Roman"/>
          <w:szCs w:val="20"/>
        </w:rPr>
        <w:tab/>
      </w:r>
      <w:r w:rsidRPr="00BA6D38">
        <w:rPr>
          <w:rFonts w:eastAsia="Times New Roman"/>
          <w:szCs w:val="20"/>
        </w:rPr>
        <w:t>Air General Permits</w:t>
      </w:r>
    </w:p>
    <w:p w:rsidR="000D0339" w:rsidRPr="00BA6D38" w:rsidRDefault="000D0339" w:rsidP="000D0339">
      <w:pPr>
        <w:spacing w:line="264" w:lineRule="auto"/>
        <w:jc w:val="both"/>
        <w:rPr>
          <w:rFonts w:eastAsia="Times New Roman"/>
          <w:szCs w:val="20"/>
        </w:rPr>
      </w:pPr>
      <w:r w:rsidRPr="00BA6D38">
        <w:rPr>
          <w:rFonts w:eastAsia="Times New Roman"/>
          <w:szCs w:val="20"/>
        </w:rPr>
        <w:t>62-210.350</w:t>
      </w:r>
      <w:r w:rsidRPr="00BA6D38">
        <w:rPr>
          <w:rFonts w:eastAsia="Times New Roman"/>
          <w:szCs w:val="20"/>
        </w:rPr>
        <w:tab/>
      </w:r>
      <w:r w:rsidR="00BA6D38">
        <w:rPr>
          <w:rFonts w:eastAsia="Times New Roman"/>
          <w:szCs w:val="20"/>
        </w:rPr>
        <w:tab/>
      </w:r>
      <w:r w:rsidRPr="00BA6D38">
        <w:rPr>
          <w:rFonts w:eastAsia="Times New Roman"/>
          <w:szCs w:val="20"/>
        </w:rPr>
        <w:t>Public Notice and Comment</w:t>
      </w:r>
    </w:p>
    <w:p w:rsidR="000D0339" w:rsidRPr="00BA6D38" w:rsidRDefault="000D0339" w:rsidP="000D0339">
      <w:pPr>
        <w:spacing w:line="264" w:lineRule="auto"/>
        <w:jc w:val="both"/>
        <w:rPr>
          <w:rFonts w:eastAsia="Times New Roman"/>
          <w:szCs w:val="20"/>
        </w:rPr>
      </w:pPr>
      <w:r w:rsidRPr="00BA6D38">
        <w:rPr>
          <w:rFonts w:eastAsia="Times New Roman"/>
          <w:szCs w:val="20"/>
        </w:rPr>
        <w:t>62-210.700</w:t>
      </w:r>
      <w:r w:rsidRPr="00BA6D38">
        <w:rPr>
          <w:rFonts w:eastAsia="Times New Roman"/>
          <w:szCs w:val="20"/>
        </w:rPr>
        <w:tab/>
      </w:r>
      <w:r w:rsidR="00BA6D38">
        <w:rPr>
          <w:rFonts w:eastAsia="Times New Roman"/>
          <w:szCs w:val="20"/>
        </w:rPr>
        <w:tab/>
      </w:r>
      <w:r w:rsidRPr="00BA6D38">
        <w:rPr>
          <w:rFonts w:eastAsia="Times New Roman"/>
          <w:szCs w:val="20"/>
        </w:rPr>
        <w:t>Excess Emissions</w:t>
      </w:r>
    </w:p>
    <w:bookmarkEnd w:id="0"/>
    <w:p w:rsidR="000D0339" w:rsidRPr="00BA6D38" w:rsidRDefault="000D0339" w:rsidP="000D0339">
      <w:pPr>
        <w:spacing w:line="264" w:lineRule="auto"/>
        <w:jc w:val="both"/>
        <w:rPr>
          <w:rFonts w:eastAsia="Times New Roman"/>
          <w:szCs w:val="20"/>
        </w:rPr>
      </w:pPr>
      <w:r w:rsidRPr="00BA6D38">
        <w:rPr>
          <w:rFonts w:eastAsia="Times New Roman"/>
          <w:szCs w:val="20"/>
        </w:rPr>
        <w:t>PURPOSE AND EFFECT:  The purpose of this Notice of Rule Development (NORD) is to revise the requirements in Rule 62-210.310, F.A.C., for submittal of annual visible emissions test reports to the Department for various source types operating under an Air General Permit (AGP). The revisions will require that only initial visible emissions tests for new facilities operating under an AGP be reported to the Department. AGP sources affected by this revision will still be required to notify the Department of any upcoming visible emissions tests in accordance with the requirements of Rule 62-297.310, F.A.C., and notify of any non-compliance in accordance with the requirements of Rule 62-4.160, F.A.C. Other proposed rule revisions include amending Rule 62-210.200, F.A.C., to add new definitions and revising existing definitions for clarification and further implementation of the Clean Air Act as well as removing unnecessary definitions; r</w:t>
      </w:r>
      <w:bookmarkStart w:id="1" w:name="_Hlk21938922"/>
      <w:r w:rsidRPr="00BA6D38">
        <w:rPr>
          <w:rFonts w:eastAsia="Times New Roman"/>
          <w:szCs w:val="20"/>
        </w:rPr>
        <w:t>evising Rule 62-210.300, F.A.C., to make corrective and clarifying amendments to several permit exemptions</w:t>
      </w:r>
      <w:bookmarkEnd w:id="1"/>
      <w:r w:rsidRPr="00BA6D38">
        <w:rPr>
          <w:rFonts w:eastAsia="Times New Roman"/>
          <w:szCs w:val="20"/>
        </w:rPr>
        <w:t>; revising Rule 62-210.310, F.A.C., to revise the requirements for submittal of the Relocation Notification Form (Form 62-210.900(6)) to the Department to at least one (1) day prior to facility relocation</w:t>
      </w:r>
      <w:bookmarkStart w:id="2" w:name="_Hlk19791288"/>
      <w:r w:rsidRPr="00BA6D38">
        <w:rPr>
          <w:rFonts w:eastAsia="Times New Roman"/>
          <w:szCs w:val="20"/>
        </w:rPr>
        <w:t xml:space="preserve">; </w:t>
      </w:r>
      <w:bookmarkEnd w:id="2"/>
      <w:r w:rsidRPr="00BA6D38">
        <w:rPr>
          <w:rFonts w:eastAsia="Times New Roman"/>
          <w:szCs w:val="20"/>
        </w:rPr>
        <w:t>revising Rule 62-210.350, F.A.C. to clarify the process for requesting a public hearing for the Prevention of Significant Deterioration (PSD) and Title V permitting programs; and revisions to Rule 62-210.700, F.A.C., to delete the May 22, 2020 sunset date with relation to startup, shutdown and malfunction. Other minor corrective or clarifying amendments are also proposed for Rules 62-210.200, 62-210.300, 62-210.310, and 62-210.350, F.A.C.</w:t>
      </w:r>
    </w:p>
    <w:p w:rsidR="000D0339" w:rsidRPr="00BA6D38" w:rsidRDefault="000D0339" w:rsidP="000D0339">
      <w:pPr>
        <w:tabs>
          <w:tab w:val="left" w:pos="360"/>
          <w:tab w:val="left" w:pos="360"/>
          <w:tab w:val="left" w:pos="360"/>
          <w:tab w:val="left" w:pos="360"/>
        </w:tabs>
        <w:overflowPunct w:val="0"/>
        <w:autoSpaceDE w:val="0"/>
        <w:autoSpaceDN w:val="0"/>
        <w:adjustRightInd w:val="0"/>
        <w:spacing w:line="264" w:lineRule="auto"/>
        <w:jc w:val="both"/>
        <w:textAlignment w:val="baseline"/>
        <w:rPr>
          <w:rFonts w:eastAsia="Times New Roman"/>
          <w:szCs w:val="20"/>
        </w:rPr>
      </w:pPr>
      <w:r w:rsidRPr="00BA6D38">
        <w:rPr>
          <w:rFonts w:eastAsia="Times New Roman"/>
          <w:szCs w:val="20"/>
        </w:rPr>
        <w:t xml:space="preserve">SUBJECT AREA TO BE ADDRESSED: The proposed rule amendments address Stationary Sources – General Requirements. </w:t>
      </w:r>
    </w:p>
    <w:p w:rsidR="000D0339" w:rsidRPr="00BA6D38" w:rsidRDefault="000D0339" w:rsidP="000D0339">
      <w:pPr>
        <w:tabs>
          <w:tab w:val="left" w:pos="360"/>
          <w:tab w:val="left" w:pos="360"/>
          <w:tab w:val="left" w:pos="360"/>
          <w:tab w:val="left" w:pos="360"/>
        </w:tabs>
        <w:overflowPunct w:val="0"/>
        <w:autoSpaceDE w:val="0"/>
        <w:autoSpaceDN w:val="0"/>
        <w:adjustRightInd w:val="0"/>
        <w:spacing w:line="264" w:lineRule="auto"/>
        <w:jc w:val="both"/>
        <w:textAlignment w:val="baseline"/>
        <w:rPr>
          <w:rFonts w:eastAsia="Times New Roman"/>
          <w:szCs w:val="20"/>
        </w:rPr>
      </w:pPr>
      <w:r w:rsidRPr="00BA6D38">
        <w:rPr>
          <w:rFonts w:eastAsia="Times New Roman"/>
          <w:szCs w:val="20"/>
        </w:rPr>
        <w:t>RULEMAKING AUTHORITY: 403.061, 403.716, 403.8055, FS.</w:t>
      </w:r>
    </w:p>
    <w:p w:rsidR="000D0339" w:rsidRPr="00BA6D38" w:rsidRDefault="000D0339" w:rsidP="000D0339">
      <w:pPr>
        <w:tabs>
          <w:tab w:val="left" w:pos="360"/>
          <w:tab w:val="left" w:pos="360"/>
          <w:tab w:val="left" w:pos="360"/>
          <w:tab w:val="left" w:pos="360"/>
        </w:tabs>
        <w:overflowPunct w:val="0"/>
        <w:autoSpaceDE w:val="0"/>
        <w:autoSpaceDN w:val="0"/>
        <w:adjustRightInd w:val="0"/>
        <w:spacing w:line="264" w:lineRule="auto"/>
        <w:jc w:val="both"/>
        <w:textAlignment w:val="baseline"/>
        <w:rPr>
          <w:rFonts w:eastAsia="Times New Roman"/>
          <w:szCs w:val="20"/>
        </w:rPr>
      </w:pPr>
      <w:r w:rsidRPr="00BA6D38">
        <w:rPr>
          <w:rFonts w:eastAsia="Times New Roman"/>
          <w:szCs w:val="20"/>
        </w:rPr>
        <w:t>LAW IMPLEMENTED: 403.021, 403.031, 403.061, 403.087, 403.0872, 403.814, FS.</w:t>
      </w:r>
    </w:p>
    <w:p w:rsidR="000D0339" w:rsidRPr="00BA6D38" w:rsidRDefault="000D0339" w:rsidP="000D0339">
      <w:pPr>
        <w:tabs>
          <w:tab w:val="left" w:pos="360"/>
          <w:tab w:val="left" w:pos="360"/>
          <w:tab w:val="left" w:pos="360"/>
          <w:tab w:val="left" w:pos="360"/>
        </w:tabs>
        <w:overflowPunct w:val="0"/>
        <w:autoSpaceDE w:val="0"/>
        <w:autoSpaceDN w:val="0"/>
        <w:adjustRightInd w:val="0"/>
        <w:spacing w:line="264" w:lineRule="auto"/>
        <w:jc w:val="both"/>
        <w:textAlignment w:val="baseline"/>
        <w:rPr>
          <w:rFonts w:eastAsia="Times New Roman"/>
          <w:szCs w:val="20"/>
        </w:rPr>
      </w:pPr>
      <w:r w:rsidRPr="00BA6D38">
        <w:rPr>
          <w:rFonts w:eastAsia="Times New Roman"/>
          <w:szCs w:val="20"/>
        </w:rPr>
        <w:t>IF REQUESTED IN WRITING AND NOT DEEMED UNNECESSARY BY THE AGENCY HEAD, A RULE DEVELOPMENT WORKSHOP WILL BE NOTICED IN THE NEXT AVAILABLE FLORIDA ADMINISTRATIVE REGISTER.</w:t>
      </w:r>
    </w:p>
    <w:p w:rsidR="00A63CC4" w:rsidRPr="00BA6D38" w:rsidRDefault="000D0339" w:rsidP="000D0339">
      <w:pPr>
        <w:tabs>
          <w:tab w:val="left" w:pos="360"/>
          <w:tab w:val="left" w:pos="360"/>
          <w:tab w:val="left" w:pos="360"/>
          <w:tab w:val="left" w:pos="360"/>
        </w:tabs>
        <w:overflowPunct w:val="0"/>
        <w:autoSpaceDE w:val="0"/>
        <w:autoSpaceDN w:val="0"/>
        <w:adjustRightInd w:val="0"/>
        <w:spacing w:line="264" w:lineRule="auto"/>
        <w:jc w:val="both"/>
        <w:textAlignment w:val="baseline"/>
        <w:rPr>
          <w:rFonts w:eastAsia="Times New Roman"/>
          <w:noProof/>
          <w:szCs w:val="20"/>
        </w:rPr>
      </w:pPr>
      <w:r w:rsidRPr="00BA6D38">
        <w:rPr>
          <w:rFonts w:eastAsia="Times New Roman"/>
          <w:szCs w:val="20"/>
        </w:rPr>
        <w:t xml:space="preserve">THE PERSON TO BE CONTACTED REGARDING THE PROPOSED RULE DEVELOPMENT AND A COPY OF THE PRELIMINARY DRAFT, IF AVAILABLE, IS: Hastings Read, Florida Department of Environmental Protection, Division of Air Resource Management, 2600 Blair Stone Road, MS 5500, Tallahassee, Florida, 32399-2400. Telephone: </w:t>
      </w:r>
      <w:r w:rsidR="00BA6D38">
        <w:rPr>
          <w:rFonts w:eastAsia="Times New Roman"/>
          <w:szCs w:val="20"/>
        </w:rPr>
        <w:t>(</w:t>
      </w:r>
      <w:r w:rsidRPr="00BA6D38">
        <w:rPr>
          <w:rFonts w:eastAsia="Times New Roman"/>
          <w:szCs w:val="20"/>
        </w:rPr>
        <w:t>850</w:t>
      </w:r>
      <w:r w:rsidR="00BA6D38">
        <w:rPr>
          <w:rFonts w:eastAsia="Times New Roman"/>
          <w:szCs w:val="20"/>
        </w:rPr>
        <w:t>)</w:t>
      </w:r>
      <w:r w:rsidRPr="00BA6D38">
        <w:rPr>
          <w:rFonts w:eastAsia="Times New Roman"/>
          <w:szCs w:val="20"/>
        </w:rPr>
        <w:t xml:space="preserve">717-9017. E-mail: </w:t>
      </w:r>
      <w:hyperlink r:id="rId8" w:history="1">
        <w:r w:rsidRPr="00BA6D38">
          <w:rPr>
            <w:rStyle w:val="Hyperlink"/>
            <w:rFonts w:eastAsia="Times New Roman"/>
            <w:color w:val="auto"/>
            <w:szCs w:val="20"/>
            <w:u w:val="none"/>
          </w:rPr>
          <w:t>hastings.read@Floridadep.gov</w:t>
        </w:r>
      </w:hyperlink>
      <w:r w:rsidRPr="00BA6D38">
        <w:rPr>
          <w:rFonts w:eastAsia="Times New Roman"/>
          <w:szCs w:val="20"/>
        </w:rPr>
        <w:t xml:space="preserve"> </w:t>
      </w:r>
      <w:r w:rsidRPr="00BA6D38">
        <w:rPr>
          <w:szCs w:val="20"/>
        </w:rPr>
        <w:t xml:space="preserve"> </w:t>
      </w:r>
      <w:bookmarkStart w:id="3" w:name="_Hlk536199127"/>
      <w:r w:rsidRPr="00BA6D38">
        <w:rPr>
          <w:rFonts w:eastAsia="Times New Roman"/>
          <w:noProof/>
          <w:szCs w:val="20"/>
        </w:rPr>
        <w:t>THE PRELIMINARY TEXT OF THE PROPOSED RULE DEVELOPMENT IS NOT AVAILABLE.</w:t>
      </w:r>
      <w:bookmarkEnd w:id="3"/>
    </w:p>
    <w:sectPr w:rsidR="00A63CC4" w:rsidRPr="00BA6D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569" w:rsidRDefault="003D5569">
      <w:r>
        <w:separator/>
      </w:r>
    </w:p>
  </w:endnote>
  <w:endnote w:type="continuationSeparator" w:id="0">
    <w:p w:rsidR="003D5569" w:rsidRDefault="003D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5C" w:rsidRDefault="0013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5C" w:rsidRDefault="00131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5C" w:rsidRDefault="0013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569" w:rsidRDefault="003D5569">
      <w:r>
        <w:separator/>
      </w:r>
    </w:p>
  </w:footnote>
  <w:footnote w:type="continuationSeparator" w:id="0">
    <w:p w:rsidR="003D5569" w:rsidRDefault="003D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5C" w:rsidRDefault="0013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5C" w:rsidRDefault="0013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5C" w:rsidRDefault="00131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4D"/>
    <w:rsid w:val="000D0339"/>
    <w:rsid w:val="0013155C"/>
    <w:rsid w:val="002369AD"/>
    <w:rsid w:val="00261F60"/>
    <w:rsid w:val="003D5569"/>
    <w:rsid w:val="006D03BB"/>
    <w:rsid w:val="00A63CC4"/>
    <w:rsid w:val="00BA6D38"/>
    <w:rsid w:val="00D6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E02B3-6EA8-425D-82B7-2536812A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339"/>
    <w:rPr>
      <w:color w:val="0563C1"/>
      <w:u w:val="single"/>
    </w:rPr>
  </w:style>
  <w:style w:type="paragraph" w:styleId="Header">
    <w:name w:val="header"/>
    <w:basedOn w:val="Normal"/>
    <w:link w:val="HeaderChar"/>
    <w:uiPriority w:val="99"/>
    <w:unhideWhenUsed/>
    <w:rsid w:val="000D0339"/>
    <w:pPr>
      <w:tabs>
        <w:tab w:val="center" w:pos="4680"/>
        <w:tab w:val="right" w:pos="9360"/>
      </w:tabs>
      <w:spacing w:after="160" w:line="259" w:lineRule="auto"/>
    </w:pPr>
    <w:rPr>
      <w:rFonts w:ascii="Calibri" w:hAnsi="Calibri"/>
      <w:sz w:val="22"/>
    </w:rPr>
  </w:style>
  <w:style w:type="character" w:customStyle="1" w:styleId="HeaderChar">
    <w:name w:val="Header Char"/>
    <w:link w:val="Header"/>
    <w:uiPriority w:val="99"/>
    <w:rsid w:val="000D0339"/>
    <w:rPr>
      <w:rFonts w:ascii="Calibri" w:hAnsi="Calibri"/>
      <w:sz w:val="22"/>
      <w:szCs w:val="22"/>
    </w:rPr>
  </w:style>
  <w:style w:type="paragraph" w:styleId="Footer">
    <w:name w:val="footer"/>
    <w:basedOn w:val="Normal"/>
    <w:link w:val="FooterChar"/>
    <w:uiPriority w:val="99"/>
    <w:unhideWhenUsed/>
    <w:rsid w:val="000D0339"/>
    <w:pPr>
      <w:tabs>
        <w:tab w:val="center" w:pos="4680"/>
        <w:tab w:val="right" w:pos="9360"/>
      </w:tabs>
      <w:spacing w:after="160" w:line="259" w:lineRule="auto"/>
    </w:pPr>
    <w:rPr>
      <w:rFonts w:ascii="Calibri" w:hAnsi="Calibri"/>
      <w:sz w:val="22"/>
    </w:rPr>
  </w:style>
  <w:style w:type="character" w:customStyle="1" w:styleId="FooterChar">
    <w:name w:val="Footer Char"/>
    <w:link w:val="Footer"/>
    <w:uiPriority w:val="99"/>
    <w:rsid w:val="000D033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tings.read@Floridadep.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lrules.org/gateway/RuleNo.asp?title=STATIONARY%20SOURCES%20-%20EMISSION%20STANDARDS&amp;ID=62-296.418"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lrules.org/gateway/ruleNo.asp?id=62-296.41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Links>
    <vt:vector size="18" baseType="variant">
      <vt:variant>
        <vt:i4>8192024</vt:i4>
      </vt:variant>
      <vt:variant>
        <vt:i4>6</vt:i4>
      </vt:variant>
      <vt:variant>
        <vt:i4>0</vt:i4>
      </vt:variant>
      <vt:variant>
        <vt:i4>5</vt:i4>
      </vt:variant>
      <vt:variant>
        <vt:lpwstr>mailto:hastings.read@Floridadep.gov</vt:lpwstr>
      </vt:variant>
      <vt:variant>
        <vt:lpwstr/>
      </vt:variant>
      <vt:variant>
        <vt:i4>4063343</vt:i4>
      </vt:variant>
      <vt:variant>
        <vt:i4>3</vt:i4>
      </vt:variant>
      <vt:variant>
        <vt:i4>0</vt:i4>
      </vt:variant>
      <vt:variant>
        <vt:i4>5</vt:i4>
      </vt:variant>
      <vt:variant>
        <vt:lpwstr>https://www.flrules.org/gateway/RuleNo.asp?title=STATIONARY%20SOURCES%20-%20EMISSION%20STANDARDS&amp;ID=62-296.418</vt:lpwstr>
      </vt:variant>
      <vt:variant>
        <vt:lpwstr/>
      </vt:variant>
      <vt:variant>
        <vt:i4>458773</vt:i4>
      </vt:variant>
      <vt:variant>
        <vt:i4>0</vt:i4>
      </vt:variant>
      <vt:variant>
        <vt:i4>0</vt:i4>
      </vt:variant>
      <vt:variant>
        <vt:i4>5</vt:i4>
      </vt:variant>
      <vt:variant>
        <vt:lpwstr>https://www.flrules.org/gateway/ruleNo.asp?id=62-296.412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Cari L.</dc:creator>
  <cp:keywords/>
  <dc:description/>
  <cp:lastModifiedBy>Phillips, Cindy</cp:lastModifiedBy>
  <cp:revision>2</cp:revision>
  <cp:lastPrinted>2019-11-14T14:34:00Z</cp:lastPrinted>
  <dcterms:created xsi:type="dcterms:W3CDTF">2019-11-14T14:49:00Z</dcterms:created>
  <dcterms:modified xsi:type="dcterms:W3CDTF">2019-11-14T14:49:00Z</dcterms:modified>
</cp:coreProperties>
</file>