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F68E" w14:textId="77777777" w:rsidR="00A63D4D" w:rsidRPr="00A63D4D" w:rsidRDefault="00A63D4D" w:rsidP="00A63D4D">
      <w:pPr>
        <w:widowControl w:val="0"/>
        <w:spacing w:after="0" w:line="260" w:lineRule="atLeast"/>
        <w:jc w:val="center"/>
        <w:outlineLvl w:val="0"/>
        <w:rPr>
          <w:rFonts w:ascii="Times New Roman" w:eastAsia="Times New Roman" w:hAnsi="Times New Roman" w:cs="Times New Roman"/>
          <w:b/>
          <w:kern w:val="0"/>
          <w:sz w:val="20"/>
          <w14:ligatures w14:val="none"/>
        </w:rPr>
      </w:pPr>
      <w:r w:rsidRPr="00A63D4D">
        <w:rPr>
          <w:rFonts w:ascii="Times New Roman" w:eastAsia="Times New Roman" w:hAnsi="Times New Roman" w:cs="Times New Roman"/>
          <w:b/>
          <w:kern w:val="0"/>
          <w:sz w:val="20"/>
          <w14:ligatures w14:val="none"/>
        </w:rPr>
        <w:t>CHAPTER 62-600</w:t>
      </w:r>
    </w:p>
    <w:p w14:paraId="269C814D" w14:textId="77777777" w:rsidR="00A63D4D" w:rsidRPr="00A63D4D" w:rsidRDefault="00A63D4D" w:rsidP="00A63D4D">
      <w:pPr>
        <w:widowControl w:val="0"/>
        <w:spacing w:after="240" w:line="260" w:lineRule="atLeast"/>
        <w:jc w:val="center"/>
        <w:outlineLvl w:val="0"/>
        <w:rPr>
          <w:rFonts w:ascii="Times New Roman" w:eastAsia="Times New Roman" w:hAnsi="Times New Roman" w:cs="Times New Roman"/>
          <w:b/>
          <w:kern w:val="0"/>
          <w:sz w:val="20"/>
          <w14:ligatures w14:val="none"/>
        </w:rPr>
      </w:pPr>
      <w:r w:rsidRPr="00A63D4D">
        <w:rPr>
          <w:rFonts w:ascii="Times New Roman" w:eastAsia="Times New Roman" w:hAnsi="Times New Roman" w:cs="Times New Roman"/>
          <w:b/>
          <w:kern w:val="0"/>
          <w:sz w:val="20"/>
          <w14:ligatures w14:val="none"/>
        </w:rPr>
        <w:t>DOMESTIC WASTEWATER FACILITIES</w:t>
      </w:r>
    </w:p>
    <w:p w14:paraId="5D192709"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PART I  GENERAL</w:t>
      </w:r>
    </w:p>
    <w:p w14:paraId="28FB69B9"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62-600.100 </w:t>
      </w:r>
      <w:r w:rsidRPr="00A63D4D">
        <w:rPr>
          <w:rFonts w:ascii="Times New Roman" w:eastAsia="Times New Roman" w:hAnsi="Times New Roman" w:cs="Times New Roman"/>
          <w:kern w:val="0"/>
          <w:sz w:val="20"/>
          <w14:ligatures w14:val="none"/>
        </w:rPr>
        <w:tab/>
        <w:t>Applicability</w:t>
      </w:r>
    </w:p>
    <w:p w14:paraId="5013B5CC"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62-600.120 </w:t>
      </w:r>
      <w:r w:rsidRPr="00A63D4D">
        <w:rPr>
          <w:rFonts w:ascii="Times New Roman" w:eastAsia="Times New Roman" w:hAnsi="Times New Roman" w:cs="Times New Roman"/>
          <w:kern w:val="0"/>
          <w:sz w:val="20"/>
          <w14:ligatures w14:val="none"/>
        </w:rPr>
        <w:tab/>
        <w:t>Exemptions</w:t>
      </w:r>
    </w:p>
    <w:p w14:paraId="1F3239EA"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62-600.200 </w:t>
      </w:r>
      <w:r w:rsidRPr="00A63D4D">
        <w:rPr>
          <w:rFonts w:ascii="Times New Roman" w:eastAsia="Times New Roman" w:hAnsi="Times New Roman" w:cs="Times New Roman"/>
          <w:kern w:val="0"/>
          <w:sz w:val="20"/>
          <w14:ligatures w14:val="none"/>
        </w:rPr>
        <w:tab/>
        <w:t>Definitions</w:t>
      </w:r>
    </w:p>
    <w:p w14:paraId="64E48193"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PART II  TREATMENT FACILITIES</w:t>
      </w:r>
    </w:p>
    <w:p w14:paraId="2D4BCDC1"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62-600.420 </w:t>
      </w:r>
      <w:r w:rsidRPr="00A63D4D">
        <w:rPr>
          <w:rFonts w:ascii="Times New Roman" w:eastAsia="Times New Roman" w:hAnsi="Times New Roman" w:cs="Times New Roman"/>
          <w:kern w:val="0"/>
          <w:sz w:val="20"/>
          <w14:ligatures w14:val="none"/>
        </w:rPr>
        <w:tab/>
        <w:t>Minimum Treatment Standards ‒ Technology Based Effluent Limitations (TBELs)</w:t>
      </w:r>
    </w:p>
    <w:p w14:paraId="5021276D"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62-600.430 </w:t>
      </w:r>
      <w:r w:rsidRPr="00A63D4D">
        <w:rPr>
          <w:rFonts w:ascii="Times New Roman" w:eastAsia="Times New Roman" w:hAnsi="Times New Roman" w:cs="Times New Roman"/>
          <w:kern w:val="0"/>
          <w:sz w:val="20"/>
          <w14:ligatures w14:val="none"/>
        </w:rPr>
        <w:tab/>
        <w:t>Additional Treatment ‒ Water Quality-Based Effluent Limitations (WQBELs)</w:t>
      </w:r>
    </w:p>
    <w:p w14:paraId="22F250EC"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62-600.440 </w:t>
      </w:r>
      <w:r w:rsidRPr="00A63D4D">
        <w:rPr>
          <w:rFonts w:ascii="Times New Roman" w:eastAsia="Times New Roman" w:hAnsi="Times New Roman" w:cs="Times New Roman"/>
          <w:kern w:val="0"/>
          <w:sz w:val="20"/>
          <w14:ligatures w14:val="none"/>
        </w:rPr>
        <w:tab/>
        <w:t>Disinfection Requirements</w:t>
      </w:r>
    </w:p>
    <w:p w14:paraId="45173CC9"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PART IV  MONITORING AND REPORTING REQUIREMENTS</w:t>
      </w:r>
    </w:p>
    <w:p w14:paraId="2783B6B3" w14:textId="77777777" w:rsidR="00A63D4D" w:rsidRPr="00A63D4D" w:rsidRDefault="00A63D4D" w:rsidP="00A63D4D">
      <w:pPr>
        <w:widowControl w:val="0"/>
        <w:spacing w:after="0" w:line="260" w:lineRule="atLeast"/>
        <w:jc w:val="both"/>
        <w:outlineLvl w:val="0"/>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62-600.660</w:t>
      </w:r>
      <w:r w:rsidRPr="00A63D4D">
        <w:rPr>
          <w:rFonts w:ascii="Times New Roman" w:eastAsia="Times New Roman" w:hAnsi="Times New Roman" w:cs="Times New Roman"/>
          <w:kern w:val="0"/>
          <w:sz w:val="20"/>
          <w:szCs w:val="20"/>
          <w14:ligatures w14:val="none"/>
        </w:rPr>
        <w:tab/>
        <w:t>Treatment Facility Monitoring</w:t>
      </w:r>
    </w:p>
    <w:p w14:paraId="0304B60A" w14:textId="77777777" w:rsidR="00A63D4D" w:rsidRPr="00A63D4D" w:rsidRDefault="00A63D4D" w:rsidP="00A63D4D">
      <w:pPr>
        <w:widowControl w:val="0"/>
        <w:spacing w:after="0" w:line="260" w:lineRule="atLeast"/>
        <w:jc w:val="both"/>
        <w:outlineLvl w:val="0"/>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PART V  PERMITTING</w:t>
      </w:r>
    </w:p>
    <w:p w14:paraId="66C85C45" w14:textId="77777777" w:rsidR="00A63D4D" w:rsidRPr="00A63D4D" w:rsidRDefault="00A63D4D" w:rsidP="00A63D4D">
      <w:pPr>
        <w:widowControl w:val="0"/>
        <w:spacing w:after="0" w:line="260" w:lineRule="atLeast"/>
        <w:outlineLvl w:val="0"/>
        <w:rPr>
          <w:rFonts w:ascii="Times New Roman" w:eastAsia="Times New Roman" w:hAnsi="Times New Roman" w:cs="Times New Roman"/>
          <w:kern w:val="0"/>
          <w:sz w:val="20"/>
          <w14:ligatures w14:val="none"/>
        </w:rPr>
      </w:pPr>
      <w:r w:rsidRPr="00A63D4D">
        <w:rPr>
          <w:rFonts w:ascii="Times New Roman" w:eastAsia="Times New Roman" w:hAnsi="Times New Roman" w:cs="Times New Roman"/>
          <w:kern w:val="0"/>
          <w:sz w:val="20"/>
          <w14:ligatures w14:val="none"/>
        </w:rPr>
        <w:t xml:space="preserve">62-600.707 </w:t>
      </w:r>
      <w:r w:rsidRPr="00A63D4D">
        <w:rPr>
          <w:rFonts w:ascii="Times New Roman" w:eastAsia="Times New Roman" w:hAnsi="Times New Roman" w:cs="Times New Roman"/>
          <w:kern w:val="0"/>
          <w:sz w:val="20"/>
          <w14:ligatures w14:val="none"/>
        </w:rPr>
        <w:tab/>
        <w:t>Distributed Wastewater Treatment Systems and Distributed Wastewater Treatment Units</w:t>
      </w:r>
    </w:p>
    <w:p w14:paraId="2F88BD94" w14:textId="77777777" w:rsidR="00A63D4D" w:rsidRPr="00A63D4D" w:rsidRDefault="00A63D4D" w:rsidP="00A63D4D">
      <w:pPr>
        <w:widowControl w:val="0"/>
        <w:spacing w:before="120" w:after="120" w:line="260" w:lineRule="atLeast"/>
        <w:jc w:val="center"/>
        <w:rPr>
          <w:rFonts w:ascii="Times New Roman" w:eastAsia="Times New Roman" w:hAnsi="Times New Roman" w:cs="Times New Roman"/>
          <w:b/>
          <w:kern w:val="0"/>
          <w:sz w:val="20"/>
          <w14:ligatures w14:val="none"/>
        </w:rPr>
      </w:pPr>
      <w:r w:rsidRPr="00A63D4D">
        <w:rPr>
          <w:rFonts w:ascii="Times New Roman" w:eastAsia="Times New Roman" w:hAnsi="Times New Roman" w:cs="Times New Roman"/>
          <w:b/>
          <w:kern w:val="0"/>
          <w:sz w:val="20"/>
          <w14:ligatures w14:val="none"/>
        </w:rPr>
        <w:t>PART I GENERAL</w:t>
      </w:r>
    </w:p>
    <w:p w14:paraId="2BDDA092"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62-600.100 Applicability.</w:t>
      </w:r>
    </w:p>
    <w:p w14:paraId="7065D7A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(1) No change.</w:t>
      </w:r>
    </w:p>
    <w:p w14:paraId="0E0F20F9"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color w:val="000000" w:themeColor="text1"/>
          <w:kern w:val="0"/>
          <w:sz w:val="20"/>
          <w:szCs w:val="20"/>
          <w14:ligatures w14:val="none"/>
        </w:rPr>
        <w:t xml:space="preserve">(2) The standards and requirements of Parts II and V of Chapter 62-600, and Rule 62-600.500, F.A.C., shall be applicable to septic systems and other </w:t>
      </w:r>
      <w:r w:rsidRPr="00A63D4D">
        <w:rPr>
          <w:rFonts w:ascii="Times New Roman" w:eastAsia="Times New Roman" w:hAnsi="Times New Roman" w:cs="Times New Roman"/>
          <w:kern w:val="0"/>
          <w:sz w:val="20"/>
          <w:szCs w:val="20"/>
          <w14:ligatures w14:val="none"/>
        </w:rPr>
        <w:t>onsite closed-tank wastewater</w:t>
      </w:r>
      <w:r w:rsidRPr="00A63D4D">
        <w:rPr>
          <w:rFonts w:ascii="Times New Roman" w:eastAsia="Times New Roman" w:hAnsi="Times New Roman" w:cs="Times New Roman"/>
          <w:color w:val="000000" w:themeColor="text1"/>
          <w:kern w:val="0"/>
          <w:sz w:val="20"/>
          <w:szCs w:val="20"/>
          <w14:ligatures w14:val="none"/>
        </w:rPr>
        <w:t xml:space="preserve"> treatment systems</w:t>
      </w:r>
      <w:r w:rsidRPr="00A63D4D">
        <w:rPr>
          <w:rFonts w:ascii="Times New Roman" w:eastAsia="Times New Roman" w:hAnsi="Times New Roman" w:cs="Times New Roman"/>
          <w:color w:val="000000" w:themeColor="text1"/>
          <w:kern w:val="0"/>
          <w:sz w:val="20"/>
          <w:szCs w:val="20"/>
          <w:u w:val="single"/>
          <w14:ligatures w14:val="none"/>
        </w:rPr>
        <w:t>, including distributed wastewater treatment units (DWTUs),</w:t>
      </w:r>
      <w:r w:rsidRPr="00A63D4D">
        <w:rPr>
          <w:rFonts w:ascii="Times New Roman" w:eastAsia="Times New Roman" w:hAnsi="Times New Roman" w:cs="Times New Roman"/>
          <w:color w:val="000000" w:themeColor="text1"/>
          <w:kern w:val="0"/>
          <w:sz w:val="20"/>
          <w:szCs w:val="20"/>
          <w14:ligatures w14:val="none"/>
        </w:rPr>
        <w:t xml:space="preserve"> with subsurface disposal regulated by this chapter. The reliability requirements of paragraph 62-600.400(1)(b), F.A.C., shall not apply to such septic systems </w:t>
      </w:r>
      <w:proofErr w:type="gramStart"/>
      <w:r w:rsidRPr="00A63D4D">
        <w:rPr>
          <w:rFonts w:ascii="Times New Roman" w:eastAsia="Times New Roman" w:hAnsi="Times New Roman" w:cs="Times New Roman"/>
          <w:color w:val="000000" w:themeColor="text1"/>
          <w:kern w:val="0"/>
          <w:sz w:val="20"/>
          <w:szCs w:val="20"/>
          <w14:ligatures w14:val="none"/>
        </w:rPr>
        <w:t>and</w:t>
      </w:r>
      <w:proofErr w:type="gramEnd"/>
      <w:r w:rsidRPr="00A63D4D">
        <w:rPr>
          <w:rFonts w:ascii="Times New Roman" w:eastAsia="Times New Roman" w:hAnsi="Times New Roman" w:cs="Times New Roman"/>
          <w:color w:val="000000" w:themeColor="text1"/>
          <w:kern w:val="0"/>
          <w:sz w:val="20"/>
          <w:szCs w:val="20"/>
          <w14:ligatures w14:val="none"/>
        </w:rPr>
        <w:t xml:space="preserve"> other onsite closed-tank wastewater treatment systems </w:t>
      </w:r>
      <w:r w:rsidRPr="00A63D4D">
        <w:rPr>
          <w:rFonts w:ascii="Times New Roman" w:eastAsia="Times New Roman" w:hAnsi="Times New Roman" w:cs="Times New Roman"/>
          <w:color w:val="000000" w:themeColor="text1"/>
          <w:kern w:val="0"/>
          <w:sz w:val="20"/>
          <w:szCs w:val="20"/>
          <w:u w:val="single"/>
          <w14:ligatures w14:val="none"/>
        </w:rPr>
        <w:t>with subsurface disposal</w:t>
      </w:r>
      <w:r w:rsidRPr="00A63D4D">
        <w:rPr>
          <w:rFonts w:ascii="Times New Roman" w:eastAsia="Times New Roman" w:hAnsi="Times New Roman" w:cs="Times New Roman"/>
          <w:color w:val="000000" w:themeColor="text1"/>
          <w:kern w:val="0"/>
          <w:sz w:val="20"/>
          <w:szCs w:val="20"/>
          <w14:ligatures w14:val="none"/>
        </w:rPr>
        <w:t xml:space="preserve">. </w:t>
      </w:r>
      <w:r w:rsidRPr="00A63D4D">
        <w:rPr>
          <w:rFonts w:ascii="Times New Roman" w:eastAsia="Times New Roman" w:hAnsi="Times New Roman" w:cs="Times New Roman"/>
          <w:color w:val="000000" w:themeColor="text1"/>
          <w:kern w:val="0"/>
          <w:sz w:val="20"/>
          <w:szCs w:val="20"/>
          <w:u w:val="single"/>
          <w14:ligatures w14:val="none"/>
        </w:rPr>
        <w:t>The standards and requirements of Part IV of Chapter 62-600, F.A.C., except for Rule 62-600.670, F.A.C., shall also be applicable to distributed wastewater treatment systems (DWTSs) and DWTUs with subsurface disposal.</w:t>
      </w:r>
    </w:p>
    <w:p w14:paraId="7570BB4F"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 xml:space="preserve">(3) No change. </w:t>
      </w:r>
    </w:p>
    <w:p w14:paraId="00CEB127"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Rulemaking Authority 403.051, 403.061, 403.062, 403.086, 403.087, 403.088 FS. Law Implemented 403.021, 403.051, 403.061, 403.062, 403.085, 403.086, 403.087, 403.088 FS. History–New 11-27-89, Amended 1-30-91, Formerly 17-600.100, Amended 12-24-96, 2-8-16</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146EC491"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62-600.120 Exemptions.</w:t>
      </w:r>
    </w:p>
    <w:p w14:paraId="7877A645"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color w:val="000000"/>
          <w:kern w:val="0"/>
          <w:sz w:val="20"/>
          <w:szCs w:val="20"/>
          <w14:ligatures w14:val="none"/>
        </w:rPr>
        <w:t xml:space="preserve">(1) Onsite sewage treatment and disposal systems </w:t>
      </w:r>
      <w:r w:rsidRPr="00A63D4D">
        <w:rPr>
          <w:rFonts w:ascii="Times New Roman" w:eastAsia="Times New Roman" w:hAnsi="Times New Roman" w:cs="Times New Roman"/>
          <w:color w:val="000000"/>
          <w:kern w:val="0"/>
          <w:sz w:val="20"/>
          <w:szCs w:val="20"/>
          <w:u w:val="single"/>
          <w14:ligatures w14:val="none"/>
        </w:rPr>
        <w:t>are subject to the requirements of Chapter 62-6, F.A.C,</w:t>
      </w:r>
      <w:r w:rsidRPr="00A63D4D">
        <w:rPr>
          <w:rFonts w:ascii="Times New Roman" w:eastAsia="Times New Roman" w:hAnsi="Times New Roman" w:cs="Times New Roman"/>
          <w:kern w:val="0"/>
          <w:sz w:val="20"/>
          <w:szCs w:val="20"/>
          <w:u w:val="single"/>
          <w14:ligatures w14:val="none"/>
        </w:rPr>
        <w:t xml:space="preserve"> and</w:t>
      </w:r>
      <w:r w:rsidRPr="00A63D4D">
        <w:rPr>
          <w:rFonts w:ascii="Times New Roman" w:eastAsia="Times New Roman" w:hAnsi="Times New Roman" w:cs="Times New Roman"/>
          <w:color w:val="000000"/>
          <w:kern w:val="0"/>
          <w:sz w:val="20"/>
          <w:szCs w:val="20"/>
          <w14:ligatures w14:val="none"/>
        </w:rPr>
        <w:t xml:space="preserve"> </w:t>
      </w:r>
      <w:r w:rsidRPr="00A63D4D">
        <w:rPr>
          <w:rFonts w:ascii="Times New Roman" w:eastAsia="Times New Roman" w:hAnsi="Times New Roman" w:cs="Times New Roman"/>
          <w:strike/>
          <w:kern w:val="0"/>
          <w:sz w:val="20"/>
          <w:szCs w:val="20"/>
          <w14:ligatures w14:val="none"/>
        </w:rPr>
        <w:t>regulated by DOH</w:t>
      </w:r>
      <w:r w:rsidRPr="00A63D4D">
        <w:rPr>
          <w:rFonts w:ascii="Times New Roman" w:eastAsia="Times New Roman" w:hAnsi="Times New Roman" w:cs="Times New Roman"/>
          <w:kern w:val="0"/>
          <w:sz w:val="20"/>
          <w:szCs w:val="20"/>
          <w14:ligatures w14:val="none"/>
        </w:rPr>
        <w:t xml:space="preserve"> are exempted from the requirements of this chapter. </w:t>
      </w:r>
      <w:r w:rsidRPr="00A63D4D">
        <w:rPr>
          <w:rFonts w:ascii="Times New Roman" w:eastAsia="Times New Roman" w:hAnsi="Times New Roman" w:cs="Times New Roman"/>
          <w:kern w:val="0"/>
          <w:sz w:val="20"/>
          <w:szCs w:val="20"/>
          <w:u w:val="single"/>
          <w14:ligatures w14:val="none"/>
        </w:rPr>
        <w:t>The Department</w:t>
      </w:r>
      <w:r w:rsidRPr="00A63D4D">
        <w:rPr>
          <w:rFonts w:ascii="Times New Roman" w:eastAsia="Times New Roman" w:hAnsi="Times New Roman" w:cs="Times New Roman"/>
          <w:kern w:val="0"/>
          <w:sz w:val="20"/>
          <w:szCs w:val="20"/>
          <w14:ligatures w14:val="none"/>
        </w:rPr>
        <w:t xml:space="preserve"> </w:t>
      </w:r>
      <w:r w:rsidRPr="00A63D4D">
        <w:rPr>
          <w:rFonts w:ascii="Times New Roman" w:eastAsia="Times New Roman" w:hAnsi="Times New Roman" w:cs="Times New Roman"/>
          <w:strike/>
          <w:kern w:val="0"/>
          <w:sz w:val="20"/>
          <w:szCs w:val="20"/>
          <w14:ligatures w14:val="none"/>
        </w:rPr>
        <w:t>DOH</w:t>
      </w:r>
      <w:r w:rsidRPr="00A63D4D">
        <w:rPr>
          <w:rFonts w:ascii="Times New Roman" w:eastAsia="Times New Roman" w:hAnsi="Times New Roman" w:cs="Times New Roman"/>
          <w:kern w:val="0"/>
          <w:sz w:val="20"/>
          <w:szCs w:val="20"/>
          <w14:ligatures w14:val="none"/>
        </w:rPr>
        <w:t xml:space="preserve"> regulates onsite sewage treatment and disposal systems in accordance with Section 381.0065, F.S.</w:t>
      </w:r>
    </w:p>
    <w:p w14:paraId="2132A83B"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(2) No change.</w:t>
      </w:r>
    </w:p>
    <w:p w14:paraId="2F6CA4BE"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Rulemaking Authority 403.051, 403.061, 403.086, 403.087, 403.088 FS. Law Implemented 403.021, 403.051, 403.061, 403.062, 403.085, 403.086, 403.087, 403.088 FS. History–New 11-27-89, Amended 1-30-91, Formerly 17-600.120, Amended 12-24-96, 2-8-16</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75F8E789" w14:textId="77777777" w:rsidR="00A63D4D" w:rsidRPr="00A63D4D" w:rsidRDefault="00A63D4D" w:rsidP="00A63D4D">
      <w:pPr>
        <w:keepNext/>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62-600.200 Definitions.</w:t>
      </w:r>
    </w:p>
    <w:p w14:paraId="68D75CCA"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Terms used in this chapter shall have the meanings specified below.</w:t>
      </w:r>
    </w:p>
    <w:p w14:paraId="290FB27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 xml:space="preserve">(1) </w:t>
      </w:r>
      <w:r w:rsidRPr="00A63D4D">
        <w:rPr>
          <w:rFonts w:ascii="Times New Roman" w:eastAsia="Times New Roman" w:hAnsi="Times New Roman" w:cs="Times New Roman"/>
          <w:kern w:val="0"/>
          <w:sz w:val="20"/>
          <w:szCs w:val="20"/>
          <w14:ligatures w14:val="none"/>
        </w:rPr>
        <w:t>through (19) No change.</w:t>
      </w:r>
    </w:p>
    <w:p w14:paraId="5A3F179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color w:val="000000"/>
          <w:kern w:val="0"/>
          <w:sz w:val="20"/>
          <w:szCs w:val="20"/>
          <w:u w:val="single"/>
          <w14:ligatures w14:val="none"/>
        </w:rPr>
        <w:t>(20) “Distributed wastewater treatment system (DWTS)” means an integrated system approach to treating wastewater consisting of one or more distributed wastewater treatment units, which is subject to applicable requirements for a sewage disposal facility pursuant to this chapter and Chapter 62-620, F.A.C.</w:t>
      </w:r>
    </w:p>
    <w:p w14:paraId="4179B05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(21) “Distributed wastewater treatment unit (DWTU)” means an advanced onsite closed-tank wastewater treatment system that is remotely operated and controlled by the permittee using an electronic control system and designed to achieve secondary treatment standards and a minimum of 80 percent total nitrogen removal before discharge to a subsurface application system.</w:t>
      </w:r>
    </w:p>
    <w:p w14:paraId="746EA5F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(20) through (87) renumbered to (22) through (89)</w:t>
      </w:r>
    </w:p>
    <w:p w14:paraId="53E1BC96"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 xml:space="preserve">Rulemaking Authority 403.051, 403.061, 403.086, 403.087, 403.088 FS. Law Implemented 403.021, 403.051, 403.061, 403.062, 403.085, 403.086, </w:t>
      </w:r>
      <w:r w:rsidRPr="00A63D4D">
        <w:rPr>
          <w:rFonts w:ascii="Times New Roman" w:eastAsia="Times New Roman" w:hAnsi="Times New Roman" w:cs="Times New Roman"/>
          <w:i/>
          <w:noProof/>
          <w:color w:val="000000"/>
          <w:kern w:val="0"/>
          <w:sz w:val="18"/>
          <w:szCs w:val="20"/>
          <w14:ligatures w14:val="none"/>
        </w:rPr>
        <w:lastRenderedPageBreak/>
        <w:t>403.087, 403.088 FS. History–New 11-27-89, Amended 1-30-91, 6-8-93, Formerly 17-600.200, Amended 12-24-96, 2-8-16, 9-27-21, 1-16-22</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160CA7D4" w14:textId="77777777" w:rsidR="00A63D4D" w:rsidRPr="00A63D4D" w:rsidRDefault="00A63D4D" w:rsidP="00A63D4D">
      <w:pPr>
        <w:widowControl w:val="0"/>
        <w:spacing w:before="120" w:after="120" w:line="240" w:lineRule="atLeast"/>
        <w:jc w:val="center"/>
        <w:rPr>
          <w:rFonts w:ascii="Times New Roman" w:eastAsia="Times New Roman" w:hAnsi="Times New Roman" w:cs="Times New Roman"/>
          <w:b/>
          <w:kern w:val="0"/>
          <w:sz w:val="20"/>
          <w14:ligatures w14:val="none"/>
        </w:rPr>
      </w:pPr>
      <w:r w:rsidRPr="00A63D4D">
        <w:rPr>
          <w:rFonts w:ascii="Times New Roman" w:eastAsia="Times New Roman" w:hAnsi="Times New Roman" w:cs="Times New Roman"/>
          <w:b/>
          <w:kern w:val="0"/>
          <w:sz w:val="20"/>
          <w14:ligatures w14:val="none"/>
        </w:rPr>
        <w:t>PART II TREATMENT FACILITIES</w:t>
      </w:r>
    </w:p>
    <w:p w14:paraId="7E8F219D"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62-600.420 Minimum Treatment Standards ‒ Technology Based Effluent Limitations (TBELs).</w:t>
      </w:r>
    </w:p>
    <w:p w14:paraId="54098DAD"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Except as specifically required by other Department rules or Florida Statutes, all domestic wastewater facilities shall provide, at a minimum, secondary treatment of wastewater prior to reuse or disposal.  Secondary treatment requirements are specified below:</w:t>
      </w:r>
    </w:p>
    <w:p w14:paraId="0D8D199E"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(1) through (2) No change. </w:t>
      </w:r>
    </w:p>
    <w:p w14:paraId="791C67DC"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(3) Reuse, land application, or groundwater discharge (including </w:t>
      </w:r>
      <w:r w:rsidRPr="00A63D4D">
        <w:rPr>
          <w:rFonts w:ascii="Times New Roman" w:eastAsia="Times New Roman" w:hAnsi="Times New Roman" w:cs="Times New Roman"/>
          <w:kern w:val="0"/>
          <w:sz w:val="20"/>
          <w:szCs w:val="20"/>
          <w:u w:val="single"/>
          <w14:ligatures w14:val="none"/>
        </w:rPr>
        <w:t>DWTUs and</w:t>
      </w:r>
      <w:r w:rsidRPr="00A63D4D">
        <w:rPr>
          <w:rFonts w:ascii="Times New Roman" w:eastAsia="Times New Roman" w:hAnsi="Times New Roman" w:cs="Times New Roman"/>
          <w:kern w:val="0"/>
          <w:sz w:val="20"/>
          <w:szCs w:val="20"/>
          <w14:ligatures w14:val="none"/>
        </w:rPr>
        <w:t xml:space="preserve"> underground </w:t>
      </w:r>
      <w:proofErr w:type="gramStart"/>
      <w:r w:rsidRPr="00A63D4D">
        <w:rPr>
          <w:rFonts w:ascii="Times New Roman" w:eastAsia="Times New Roman" w:hAnsi="Times New Roman" w:cs="Times New Roman"/>
          <w:kern w:val="0"/>
          <w:sz w:val="20"/>
          <w:szCs w:val="20"/>
          <w14:ligatures w14:val="none"/>
        </w:rPr>
        <w:t>injection, but</w:t>
      </w:r>
      <w:proofErr w:type="gramEnd"/>
      <w:r w:rsidRPr="00A63D4D">
        <w:rPr>
          <w:rFonts w:ascii="Times New Roman" w:eastAsia="Times New Roman" w:hAnsi="Times New Roman" w:cs="Times New Roman"/>
          <w:kern w:val="0"/>
          <w:sz w:val="20"/>
          <w:szCs w:val="20"/>
          <w14:ligatures w14:val="none"/>
        </w:rPr>
        <w:t xml:space="preserve"> excluding potable reuse projects).</w:t>
      </w:r>
    </w:p>
    <w:p w14:paraId="51C95C3B"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(a) through (b) No change. </w:t>
      </w:r>
    </w:p>
    <w:p w14:paraId="34E42045"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(4) No change. </w:t>
      </w:r>
    </w:p>
    <w:p w14:paraId="2EB6D2EE"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Rulemaking Authority 403.051, 403.061, 403.086, 403.087, 403.088 FS. Law Implemented 403.021, 403.051, 403.061, 403.062, 403.085, 403.086, 403.087, 403.088 FS. History–New 11-27-89, Amended 1-30-91, 6-8-93, Formerly 17-600.420, Amended 2-8-16, 9-27-21</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36C6C27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62-600.430 Additional Treatment ‒ Water Quality-Based Effluent Limitations (WQBELs).</w:t>
      </w:r>
    </w:p>
    <w:p w14:paraId="021F0615"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(1) No change.</w:t>
      </w:r>
    </w:p>
    <w:p w14:paraId="7B39059A"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(2) Ground water discharge.</w:t>
      </w:r>
    </w:p>
    <w:p w14:paraId="5598EB11"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 xml:space="preserve">(a) In addition to the TBELs specified in Rule 62-600.420, F.A.C., facilities shall provide additional treatment when needed to satisfy water quality standards for receiving ground waters. </w:t>
      </w:r>
      <w:r w:rsidRPr="00A63D4D">
        <w:rPr>
          <w:rFonts w:ascii="Times New Roman" w:eastAsia="Times New Roman" w:hAnsi="Times New Roman" w:cs="Times New Roman"/>
          <w:noProof/>
          <w:color w:val="000000"/>
          <w:kern w:val="0"/>
          <w:sz w:val="20"/>
          <w:szCs w:val="20"/>
          <w:u w:val="single"/>
          <w14:ligatures w14:val="none"/>
        </w:rPr>
        <w:t>This shall not apply to DWTUs or DWTSs granted under section 403.814(13), F.S.</w:t>
      </w:r>
    </w:p>
    <w:p w14:paraId="667EE15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A63D4D">
        <w:rPr>
          <w:rFonts w:ascii="Times New Roman" w:eastAsia="Times New Roman" w:hAnsi="Times New Roman" w:cs="Times New Roman"/>
          <w:noProof/>
          <w:color w:val="000000"/>
          <w:kern w:val="0"/>
          <w:sz w:val="20"/>
          <w:szCs w:val="20"/>
          <w14:ligatures w14:val="none"/>
        </w:rPr>
        <w:t xml:space="preserve">(b) No change. </w:t>
      </w:r>
    </w:p>
    <w:p w14:paraId="2C978B3E"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Rulemaking Authority 403.051, 403.061, 403.086, 403.087, 403.088 FS. Law Implemented 403.021, 403.051, 403.061, 403.062, 403.085, 403.086, 403.087, 403.088 FS. History–New 11-27-89, Amended 1-30-91, Formerly 17-600.430, Amended 2-8-16</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4CC58BAF"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A63D4D">
        <w:rPr>
          <w:rFonts w:ascii="Times New Roman" w:eastAsia="Times New Roman" w:hAnsi="Times New Roman" w:cs="Times New Roman"/>
          <w:b/>
          <w:noProof/>
          <w:color w:val="000000"/>
          <w:kern w:val="0"/>
          <w:sz w:val="20"/>
          <w:szCs w:val="20"/>
          <w14:ligatures w14:val="none"/>
        </w:rPr>
        <w:t>62-600.440 Disinfection Requirements.</w:t>
      </w:r>
    </w:p>
    <w:p w14:paraId="518CA153"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color w:val="000000"/>
          <w:kern w:val="0"/>
          <w:sz w:val="20"/>
          <w:szCs w:val="20"/>
          <w14:ligatures w14:val="none"/>
        </w:rPr>
        <w:t xml:space="preserve">(1) All wastewater treatment facilities shall be designed and operated to meet the disinfection requirements in this section and the microbiological pollutants criteria contained in Chapter 62-302, F.A.C. </w:t>
      </w:r>
      <w:r w:rsidRPr="00A63D4D">
        <w:rPr>
          <w:rFonts w:ascii="Times New Roman" w:eastAsia="Times New Roman" w:hAnsi="Times New Roman" w:cs="Times New Roman"/>
          <w:color w:val="000000"/>
          <w:kern w:val="0"/>
          <w:sz w:val="20"/>
          <w:szCs w:val="20"/>
          <w:u w:val="single"/>
          <w14:ligatures w14:val="none"/>
        </w:rPr>
        <w:t xml:space="preserve">One or more DWTUs may </w:t>
      </w:r>
      <w:proofErr w:type="gramStart"/>
      <w:r w:rsidRPr="00A63D4D">
        <w:rPr>
          <w:rFonts w:ascii="Times New Roman" w:eastAsia="Times New Roman" w:hAnsi="Times New Roman" w:cs="Times New Roman"/>
          <w:color w:val="000000"/>
          <w:kern w:val="0"/>
          <w:sz w:val="20"/>
          <w:szCs w:val="20"/>
          <w:u w:val="single"/>
          <w14:ligatures w14:val="none"/>
        </w:rPr>
        <w:t>discharge</w:t>
      </w:r>
      <w:proofErr w:type="gramEnd"/>
      <w:r w:rsidRPr="00A63D4D">
        <w:rPr>
          <w:rFonts w:ascii="Times New Roman" w:eastAsia="Times New Roman" w:hAnsi="Times New Roman" w:cs="Times New Roman"/>
          <w:color w:val="000000"/>
          <w:kern w:val="0"/>
          <w:sz w:val="20"/>
          <w:szCs w:val="20"/>
          <w:u w:val="single"/>
          <w14:ligatures w14:val="none"/>
        </w:rPr>
        <w:t xml:space="preserve"> without disinfection </w:t>
      </w:r>
      <w:r w:rsidRPr="00A63D4D">
        <w:rPr>
          <w:rFonts w:ascii="Times New Roman" w:eastAsia="Times New Roman" w:hAnsi="Times New Roman" w:cs="Times New Roman"/>
          <w:noProof/>
          <w:color w:val="000000"/>
          <w:sz w:val="20"/>
          <w:szCs w:val="20"/>
          <w:u w:val="single"/>
          <w14:ligatures w14:val="none"/>
        </w:rPr>
        <w:t xml:space="preserve">into a slow-rate subsurface application system that meets the requirements of Rule 62-600.707, F.A.C. Where the slow-rate subsurface application system for a DWTU does not meet the horizontal setback </w:t>
      </w:r>
      <w:r w:rsidRPr="00A63D4D">
        <w:rPr>
          <w:rFonts w:ascii="Times New Roman" w:eastAsia="Times New Roman" w:hAnsi="Times New Roman" w:cs="Times New Roman"/>
          <w:color w:val="000000"/>
          <w:kern w:val="0"/>
          <w:sz w:val="20"/>
          <w:szCs w:val="20"/>
          <w:u w:val="single"/>
          <w14:ligatures w14:val="none"/>
        </w:rPr>
        <w:t xml:space="preserve">requirements specified for a private potable well or a public drinking water well pursuant to subparagraph 62-600.707(1)(b)5., F.A.C., high level disinfection shall be required unless the applicant provides a demonstration that a reduced level of disinfection will not cause an exceedance of </w:t>
      </w:r>
      <w:r w:rsidRPr="00A63D4D">
        <w:rPr>
          <w:rFonts w:ascii="Times New Roman" w:eastAsia="Times New Roman" w:hAnsi="Times New Roman" w:cs="Times New Roman"/>
          <w:noProof/>
          <w:color w:val="000000"/>
          <w:kern w:val="0"/>
          <w:sz w:val="20"/>
          <w:szCs w:val="20"/>
          <w:u w:val="single"/>
          <w14:ligatures w14:val="none"/>
        </w:rPr>
        <w:t>microbiological standards as defined in Chapter 62-550, F.A.C.</w:t>
      </w:r>
    </w:p>
    <w:p w14:paraId="1B15C472"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color w:val="000000"/>
          <w:kern w:val="0"/>
          <w:sz w:val="20"/>
          <w:szCs w:val="20"/>
          <w14:ligatures w14:val="none"/>
        </w:rPr>
      </w:pPr>
      <w:r w:rsidRPr="00A63D4D">
        <w:rPr>
          <w:rFonts w:ascii="Times New Roman" w:eastAsia="Times New Roman" w:hAnsi="Times New Roman" w:cs="Times New Roman"/>
          <w:color w:val="000000"/>
          <w:kern w:val="0"/>
          <w:sz w:val="20"/>
          <w:szCs w:val="20"/>
          <w14:ligatures w14:val="none"/>
        </w:rPr>
        <w:t xml:space="preserve">(2) through (8) No change. </w:t>
      </w:r>
    </w:p>
    <w:p w14:paraId="2D1E1458" w14:textId="77777777" w:rsidR="00A63D4D" w:rsidRPr="00A63D4D" w:rsidRDefault="00A63D4D" w:rsidP="00A63D4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noProof/>
          <w:color w:val="000000"/>
          <w:kern w:val="0"/>
          <w:sz w:val="18"/>
          <w:szCs w:val="20"/>
          <w14:ligatures w14:val="none"/>
        </w:rPr>
      </w:pPr>
      <w:r w:rsidRPr="00A63D4D">
        <w:rPr>
          <w:rFonts w:ascii="Times New Roman" w:eastAsia="Times New Roman" w:hAnsi="Times New Roman" w:cs="Times New Roman"/>
          <w:i/>
          <w:noProof/>
          <w:color w:val="000000"/>
          <w:kern w:val="0"/>
          <w:sz w:val="18"/>
          <w:szCs w:val="20"/>
          <w14:ligatures w14:val="none"/>
        </w:rPr>
        <w:t>Rulemaking Authority 403.051, 403.061, 403.086, 403.087, 403.088 FS. Law Implemented 403.021, 403.051, 403.061, 403.062, 403.085, 403.086, 403.087, 403.088 FS. History–New 11-27-89, Amended 1-30-91, 6-8-93, Formerly 17-600.440, Amended 12-24-96, 2-8-16, 9-27-21</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noProof/>
          <w:color w:val="000000"/>
          <w:kern w:val="0"/>
          <w:sz w:val="18"/>
          <w:szCs w:val="20"/>
          <w14:ligatures w14:val="none"/>
        </w:rPr>
        <w:t>.</w:t>
      </w:r>
    </w:p>
    <w:p w14:paraId="75FF4005" w14:textId="77777777" w:rsidR="00A63D4D" w:rsidRPr="00A63D4D" w:rsidRDefault="00A63D4D" w:rsidP="00A63D4D">
      <w:pPr>
        <w:widowControl w:val="0"/>
        <w:spacing w:before="120" w:after="120" w:line="240" w:lineRule="atLeast"/>
        <w:jc w:val="center"/>
        <w:rPr>
          <w:rFonts w:ascii="Times New Roman" w:eastAsia="Times New Roman" w:hAnsi="Times New Roman" w:cs="Times New Roman"/>
          <w:b/>
          <w:kern w:val="0"/>
          <w:sz w:val="20"/>
          <w14:ligatures w14:val="none"/>
        </w:rPr>
      </w:pPr>
      <w:r w:rsidRPr="00A63D4D">
        <w:rPr>
          <w:rFonts w:ascii="Times New Roman" w:eastAsia="Times New Roman" w:hAnsi="Times New Roman" w:cs="Times New Roman"/>
          <w:b/>
          <w:kern w:val="0"/>
          <w:sz w:val="20"/>
          <w14:ligatures w14:val="none"/>
        </w:rPr>
        <w:t>PART IV MONITORING AND REPORTING REQUIREMENTS</w:t>
      </w:r>
    </w:p>
    <w:p w14:paraId="5C47E7AA"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kern w:val="0"/>
          <w:sz w:val="20"/>
          <w:szCs w:val="20"/>
          <w14:ligatures w14:val="none"/>
        </w:rPr>
      </w:pPr>
      <w:r w:rsidRPr="00A63D4D">
        <w:rPr>
          <w:rFonts w:ascii="Times New Roman" w:eastAsia="Times New Roman" w:hAnsi="Times New Roman" w:cs="Times New Roman"/>
          <w:b/>
          <w:kern w:val="0"/>
          <w:sz w:val="20"/>
          <w:szCs w:val="20"/>
          <w14:ligatures w14:val="none"/>
        </w:rPr>
        <w:t>62-600.660 Treatment Facility Monitoring.</w:t>
      </w:r>
    </w:p>
    <w:p w14:paraId="4D8F5BAB"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u w:val="single"/>
          <w14:ligatures w14:val="none"/>
        </w:rPr>
      </w:pPr>
      <w:r w:rsidRPr="00A63D4D">
        <w:rPr>
          <w:rFonts w:ascii="Times New Roman" w:eastAsia="Times New Roman" w:hAnsi="Times New Roman" w:cs="Times New Roman"/>
          <w:kern w:val="0"/>
          <w:sz w:val="20"/>
          <w:szCs w:val="20"/>
          <w14:ligatures w14:val="none"/>
        </w:rPr>
        <w:t xml:space="preserve">(1) Wastewater treatment facilities shall monitor the flow, the </w:t>
      </w:r>
      <w:proofErr w:type="gramStart"/>
      <w:r w:rsidRPr="00A63D4D">
        <w:rPr>
          <w:rFonts w:ascii="Times New Roman" w:eastAsia="Times New Roman" w:hAnsi="Times New Roman" w:cs="Times New Roman"/>
          <w:kern w:val="0"/>
          <w:sz w:val="20"/>
          <w:szCs w:val="20"/>
          <w14:ligatures w14:val="none"/>
        </w:rPr>
        <w:t>influent</w:t>
      </w:r>
      <w:proofErr w:type="gramEnd"/>
      <w:r w:rsidRPr="00A63D4D">
        <w:rPr>
          <w:rFonts w:ascii="Times New Roman" w:eastAsia="Times New Roman" w:hAnsi="Times New Roman" w:cs="Times New Roman"/>
          <w:kern w:val="0"/>
          <w:sz w:val="20"/>
          <w:szCs w:val="20"/>
          <w14:ligatures w14:val="none"/>
        </w:rPr>
        <w:t xml:space="preserve"> for CBOD</w:t>
      </w:r>
      <w:r w:rsidRPr="00A63D4D">
        <w:rPr>
          <w:rFonts w:ascii="Times New Roman" w:eastAsia="Times New Roman" w:hAnsi="Times New Roman" w:cs="Times New Roman"/>
          <w:kern w:val="0"/>
          <w:sz w:val="20"/>
          <w:szCs w:val="20"/>
          <w:vertAlign w:val="subscript"/>
          <w14:ligatures w14:val="none"/>
        </w:rPr>
        <w:t>5</w:t>
      </w:r>
      <w:r w:rsidRPr="00A63D4D">
        <w:rPr>
          <w:rFonts w:ascii="Times New Roman" w:eastAsia="Times New Roman" w:hAnsi="Times New Roman" w:cs="Times New Roman"/>
          <w:kern w:val="0"/>
          <w:sz w:val="20"/>
          <w:szCs w:val="20"/>
          <w14:ligatures w14:val="none"/>
        </w:rPr>
        <w:t xml:space="preserve"> and TSS, and the reclaimed water or effluent for all reclaimed water or effluent parameters as required by the permit. The minimum schedule for sampling and testing parameters to be monitored at a wastewater treatment plant is specified in Figure 1 below. </w:t>
      </w:r>
      <w:r w:rsidRPr="00A63D4D">
        <w:rPr>
          <w:rFonts w:ascii="Times New Roman" w:eastAsia="Times New Roman" w:hAnsi="Times New Roman" w:cs="Times New Roman"/>
          <w:kern w:val="0"/>
          <w:sz w:val="20"/>
          <w:szCs w:val="20"/>
          <w:u w:val="single"/>
          <w14:ligatures w14:val="none"/>
        </w:rPr>
        <w:t>Monitoring requirements for DWTUs and DWTSs are specified in Rule 62-600.707, F.A.C.</w:t>
      </w:r>
    </w:p>
    <w:p w14:paraId="0FBC9314"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12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Figure 1. Minimum Schedule for Sampling and Testing of Domestic Wastewater Treatment Plant Monitoring Parameters by Permitted Capacity</w:t>
      </w:r>
    </w:p>
    <w:tbl>
      <w:tblPr>
        <w:tblW w:w="1068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4" w:type="dxa"/>
          <w:right w:w="144" w:type="dxa"/>
        </w:tblCellMar>
        <w:tblLook w:val="0000" w:firstRow="0" w:lastRow="0" w:firstColumn="0" w:lastColumn="0" w:noHBand="0" w:noVBand="0"/>
      </w:tblPr>
      <w:tblGrid>
        <w:gridCol w:w="1440"/>
        <w:gridCol w:w="1412"/>
        <w:gridCol w:w="1440"/>
        <w:gridCol w:w="1440"/>
        <w:gridCol w:w="1260"/>
        <w:gridCol w:w="1260"/>
        <w:gridCol w:w="1260"/>
        <w:gridCol w:w="1170"/>
      </w:tblGrid>
      <w:tr w:rsidR="00A63D4D" w:rsidRPr="00A63D4D" w14:paraId="50C70334" w14:textId="77777777" w:rsidTr="00A825AD">
        <w:trPr>
          <w:cantSplit/>
          <w:trHeight w:val="1053"/>
          <w:tblHeader/>
        </w:trPr>
        <w:tc>
          <w:tcPr>
            <w:tcW w:w="1440" w:type="dxa"/>
            <w:vAlign w:val="center"/>
          </w:tcPr>
          <w:p w14:paraId="5063259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lastRenderedPageBreak/>
              <w:t>Parameters</w:t>
            </w:r>
          </w:p>
        </w:tc>
        <w:tc>
          <w:tcPr>
            <w:tcW w:w="1412" w:type="dxa"/>
            <w:vAlign w:val="center"/>
          </w:tcPr>
          <w:p w14:paraId="06A58B4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2,000 gpd up to, but not including, 25,000 gpd</w:t>
            </w:r>
          </w:p>
        </w:tc>
        <w:tc>
          <w:tcPr>
            <w:tcW w:w="1440" w:type="dxa"/>
            <w:vAlign w:val="center"/>
          </w:tcPr>
          <w:p w14:paraId="17DC63C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25,000 gpd up to, but not including, 50,000 gpd</w:t>
            </w:r>
          </w:p>
        </w:tc>
        <w:tc>
          <w:tcPr>
            <w:tcW w:w="1440" w:type="dxa"/>
            <w:vAlign w:val="center"/>
          </w:tcPr>
          <w:p w14:paraId="7CECAC5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50,000 gpd up to, but not including, 500,000 gpd</w:t>
            </w:r>
          </w:p>
        </w:tc>
        <w:tc>
          <w:tcPr>
            <w:tcW w:w="1260" w:type="dxa"/>
            <w:vAlign w:val="center"/>
          </w:tcPr>
          <w:p w14:paraId="1E9CB11E"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0.5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up to, but not including,</w:t>
            </w:r>
          </w:p>
          <w:p w14:paraId="7C439D3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1 </w:t>
            </w:r>
            <w:proofErr w:type="spellStart"/>
            <w:r w:rsidRPr="00A63D4D">
              <w:rPr>
                <w:rFonts w:ascii="Times New Roman" w:eastAsia="Times New Roman" w:hAnsi="Times New Roman" w:cs="Times New Roman"/>
                <w:kern w:val="0"/>
                <w:sz w:val="20"/>
                <w:szCs w:val="20"/>
                <w14:ligatures w14:val="none"/>
              </w:rPr>
              <w:t>mgd</w:t>
            </w:r>
            <w:proofErr w:type="spellEnd"/>
          </w:p>
        </w:tc>
        <w:tc>
          <w:tcPr>
            <w:tcW w:w="1260" w:type="dxa"/>
            <w:vAlign w:val="center"/>
          </w:tcPr>
          <w:p w14:paraId="48F26413"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1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up to, but not including,</w:t>
            </w:r>
          </w:p>
          <w:p w14:paraId="15F60FBC"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5 </w:t>
            </w:r>
            <w:proofErr w:type="spellStart"/>
            <w:r w:rsidRPr="00A63D4D">
              <w:rPr>
                <w:rFonts w:ascii="Times New Roman" w:eastAsia="Times New Roman" w:hAnsi="Times New Roman" w:cs="Times New Roman"/>
                <w:kern w:val="0"/>
                <w:sz w:val="20"/>
                <w:szCs w:val="20"/>
                <w14:ligatures w14:val="none"/>
              </w:rPr>
              <w:t>mgd</w:t>
            </w:r>
            <w:proofErr w:type="spellEnd"/>
          </w:p>
        </w:tc>
        <w:tc>
          <w:tcPr>
            <w:tcW w:w="1260" w:type="dxa"/>
            <w:vAlign w:val="center"/>
          </w:tcPr>
          <w:p w14:paraId="1BC6692E"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up to, but not including,</w:t>
            </w:r>
          </w:p>
          <w:p w14:paraId="25BDC0EF"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15 </w:t>
            </w:r>
            <w:proofErr w:type="spellStart"/>
            <w:r w:rsidRPr="00A63D4D">
              <w:rPr>
                <w:rFonts w:ascii="Times New Roman" w:eastAsia="Times New Roman" w:hAnsi="Times New Roman" w:cs="Times New Roman"/>
                <w:kern w:val="0"/>
                <w:sz w:val="20"/>
                <w:szCs w:val="20"/>
                <w14:ligatures w14:val="none"/>
              </w:rPr>
              <w:t>mgd</w:t>
            </w:r>
            <w:proofErr w:type="spellEnd"/>
          </w:p>
        </w:tc>
        <w:tc>
          <w:tcPr>
            <w:tcW w:w="1170" w:type="dxa"/>
            <w:vAlign w:val="center"/>
          </w:tcPr>
          <w:p w14:paraId="7B9F65A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15 </w:t>
            </w:r>
            <w:proofErr w:type="spellStart"/>
            <w:r w:rsidRPr="00A63D4D">
              <w:rPr>
                <w:rFonts w:ascii="Times New Roman" w:eastAsia="Times New Roman" w:hAnsi="Times New Roman" w:cs="Times New Roman"/>
                <w:kern w:val="0"/>
                <w:sz w:val="20"/>
                <w:szCs w:val="20"/>
                <w14:ligatures w14:val="none"/>
              </w:rPr>
              <w:t>mgd</w:t>
            </w:r>
            <w:proofErr w:type="spellEnd"/>
          </w:p>
          <w:p w14:paraId="2D0B3619"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and</w:t>
            </w:r>
          </w:p>
          <w:p w14:paraId="222717C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above</w:t>
            </w:r>
          </w:p>
        </w:tc>
      </w:tr>
      <w:tr w:rsidR="00A63D4D" w:rsidRPr="00A63D4D" w14:paraId="7FADFA5B" w14:textId="77777777" w:rsidTr="00A825AD">
        <w:trPr>
          <w:cantSplit/>
          <w:trHeight w:val="480"/>
        </w:trPr>
        <w:tc>
          <w:tcPr>
            <w:tcW w:w="1440" w:type="dxa"/>
            <w:vAlign w:val="center"/>
          </w:tcPr>
          <w:p w14:paraId="7DD2D5A7"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Flow, pH</w:t>
            </w:r>
            <w:r w:rsidRPr="00A63D4D">
              <w:rPr>
                <w:rFonts w:ascii="Times New Roman" w:eastAsia="Times New Roman" w:hAnsi="Times New Roman" w:cs="Times New Roman"/>
                <w:kern w:val="0"/>
                <w:position w:val="6"/>
                <w:sz w:val="20"/>
                <w:szCs w:val="20"/>
                <w:vertAlign w:val="subscript"/>
                <w14:ligatures w14:val="none"/>
              </w:rPr>
              <w:t>1</w:t>
            </w:r>
          </w:p>
          <w:p w14:paraId="1C5B59DC"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Chlorine Residual</w:t>
            </w:r>
            <w:r w:rsidRPr="00A63D4D">
              <w:rPr>
                <w:rFonts w:ascii="Times New Roman" w:eastAsia="Times New Roman" w:hAnsi="Times New Roman" w:cs="Times New Roman"/>
                <w:kern w:val="0"/>
                <w:position w:val="6"/>
                <w:sz w:val="20"/>
                <w:szCs w:val="20"/>
                <w:vertAlign w:val="superscript"/>
                <w14:ligatures w14:val="none"/>
              </w:rPr>
              <w:t>2</w:t>
            </w:r>
          </w:p>
        </w:tc>
        <w:tc>
          <w:tcPr>
            <w:tcW w:w="1412" w:type="dxa"/>
            <w:vAlign w:val="center"/>
          </w:tcPr>
          <w:p w14:paraId="77931FDD"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w:t>
            </w:r>
          </w:p>
          <w:p w14:paraId="623A646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2, 3, or 5/</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position w:val="6"/>
                <w:sz w:val="20"/>
                <w:szCs w:val="20"/>
                <w:vertAlign w:val="superscript"/>
                <w14:ligatures w14:val="none"/>
              </w:rPr>
              <w:t>8</w:t>
            </w:r>
          </w:p>
        </w:tc>
        <w:tc>
          <w:tcPr>
            <w:tcW w:w="1440" w:type="dxa"/>
            <w:vAlign w:val="center"/>
          </w:tcPr>
          <w:p w14:paraId="752AE52F"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440" w:type="dxa"/>
            <w:vAlign w:val="center"/>
          </w:tcPr>
          <w:p w14:paraId="09A74280"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70AED6E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7E76604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continuous</w:t>
            </w:r>
          </w:p>
        </w:tc>
        <w:tc>
          <w:tcPr>
            <w:tcW w:w="1260" w:type="dxa"/>
            <w:vAlign w:val="center"/>
          </w:tcPr>
          <w:p w14:paraId="1E58B5C0"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continuous</w:t>
            </w:r>
          </w:p>
        </w:tc>
        <w:tc>
          <w:tcPr>
            <w:tcW w:w="1170" w:type="dxa"/>
            <w:vAlign w:val="center"/>
          </w:tcPr>
          <w:p w14:paraId="4C414983"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continuous</w:t>
            </w:r>
          </w:p>
        </w:tc>
      </w:tr>
      <w:tr w:rsidR="00A63D4D" w:rsidRPr="00A63D4D" w14:paraId="79D79E40" w14:textId="77777777" w:rsidTr="00A825AD">
        <w:trPr>
          <w:cantSplit/>
          <w:trHeight w:val="480"/>
        </w:trPr>
        <w:tc>
          <w:tcPr>
            <w:tcW w:w="1440" w:type="dxa"/>
            <w:vAlign w:val="center"/>
          </w:tcPr>
          <w:p w14:paraId="506A781C"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Dissolved Oxygen</w:t>
            </w:r>
          </w:p>
        </w:tc>
        <w:tc>
          <w:tcPr>
            <w:tcW w:w="1412" w:type="dxa"/>
            <w:vAlign w:val="center"/>
          </w:tcPr>
          <w:p w14:paraId="1F8E982D"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w:t>
            </w:r>
          </w:p>
          <w:p w14:paraId="3C70AD32"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2, 3, or 5/</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position w:val="6"/>
                <w:sz w:val="20"/>
                <w:szCs w:val="20"/>
                <w:vertAlign w:val="superscript"/>
                <w14:ligatures w14:val="none"/>
              </w:rPr>
              <w:t>8</w:t>
            </w:r>
          </w:p>
        </w:tc>
        <w:tc>
          <w:tcPr>
            <w:tcW w:w="1440" w:type="dxa"/>
            <w:vAlign w:val="center"/>
          </w:tcPr>
          <w:p w14:paraId="49B12F8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440" w:type="dxa"/>
            <w:vAlign w:val="center"/>
          </w:tcPr>
          <w:p w14:paraId="2D7847A0"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7A607DD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62C8B490"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48C3E422"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c>
          <w:tcPr>
            <w:tcW w:w="1170" w:type="dxa"/>
            <w:vAlign w:val="center"/>
          </w:tcPr>
          <w:p w14:paraId="1E13D4CE"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r>
      <w:tr w:rsidR="00A63D4D" w:rsidRPr="00A63D4D" w14:paraId="5CF533A3" w14:textId="77777777" w:rsidTr="00A825AD">
        <w:trPr>
          <w:cantSplit/>
          <w:trHeight w:val="480"/>
        </w:trPr>
        <w:tc>
          <w:tcPr>
            <w:tcW w:w="1440" w:type="dxa"/>
            <w:vAlign w:val="center"/>
          </w:tcPr>
          <w:p w14:paraId="5FDEFF06"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Suspended Solids</w:t>
            </w:r>
            <w:r w:rsidRPr="00A63D4D">
              <w:rPr>
                <w:rFonts w:ascii="Times New Roman" w:eastAsia="Times New Roman" w:hAnsi="Times New Roman" w:cs="Times New Roman"/>
                <w:kern w:val="0"/>
                <w:position w:val="6"/>
                <w:sz w:val="20"/>
                <w:szCs w:val="20"/>
                <w:vertAlign w:val="superscript"/>
                <w14:ligatures w14:val="none"/>
              </w:rPr>
              <w:t>4</w:t>
            </w:r>
          </w:p>
          <w:p w14:paraId="08EA7A1A"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CBOD</w:t>
            </w:r>
            <w:r w:rsidRPr="00A63D4D">
              <w:rPr>
                <w:rFonts w:ascii="Times New Roman" w:eastAsia="Times New Roman" w:hAnsi="Times New Roman" w:cs="Times New Roman"/>
                <w:kern w:val="0"/>
                <w:position w:val="-6"/>
                <w:sz w:val="20"/>
                <w:szCs w:val="20"/>
                <w:vertAlign w:val="subscript"/>
                <w14:ligatures w14:val="none"/>
              </w:rPr>
              <w:t>5</w:t>
            </w:r>
            <w:r w:rsidRPr="00A63D4D">
              <w:rPr>
                <w:rFonts w:ascii="Times New Roman" w:eastAsia="Times New Roman" w:hAnsi="Times New Roman" w:cs="Times New Roman"/>
                <w:kern w:val="0"/>
                <w:sz w:val="20"/>
                <w:szCs w:val="20"/>
                <w14:ligatures w14:val="none"/>
              </w:rPr>
              <w:t>, Nutrients</w:t>
            </w:r>
          </w:p>
        </w:tc>
        <w:tc>
          <w:tcPr>
            <w:tcW w:w="1412" w:type="dxa"/>
            <w:vAlign w:val="center"/>
          </w:tcPr>
          <w:p w14:paraId="265AE0A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0769632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710C9126"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every two</w:t>
            </w:r>
          </w:p>
          <w:p w14:paraId="0A29466F"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weeks</w:t>
            </w:r>
            <w:r w:rsidRPr="00A63D4D">
              <w:rPr>
                <w:rFonts w:ascii="Times New Roman" w:eastAsia="Times New Roman" w:hAnsi="Times New Roman" w:cs="Times New Roman"/>
                <w:kern w:val="0"/>
                <w:position w:val="6"/>
                <w:sz w:val="20"/>
                <w:szCs w:val="20"/>
                <w:vertAlign w:val="superscript"/>
                <w14:ligatures w14:val="none"/>
              </w:rPr>
              <w:t>3</w:t>
            </w:r>
          </w:p>
        </w:tc>
        <w:tc>
          <w:tcPr>
            <w:tcW w:w="1260" w:type="dxa"/>
            <w:vAlign w:val="center"/>
          </w:tcPr>
          <w:p w14:paraId="6C7FCBE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7DBDD32D"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765B4E2B"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c>
          <w:tcPr>
            <w:tcW w:w="1170" w:type="dxa"/>
            <w:vAlign w:val="center"/>
          </w:tcPr>
          <w:p w14:paraId="27D2CC52"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r>
      <w:tr w:rsidR="00A63D4D" w:rsidRPr="00A63D4D" w14:paraId="272095E4" w14:textId="77777777" w:rsidTr="00A825AD">
        <w:trPr>
          <w:cantSplit/>
          <w:trHeight w:val="480"/>
        </w:trPr>
        <w:tc>
          <w:tcPr>
            <w:tcW w:w="1440" w:type="dxa"/>
            <w:vAlign w:val="center"/>
          </w:tcPr>
          <w:p w14:paraId="45CAE9DA"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Chlorine Residual</w:t>
            </w:r>
            <w:r w:rsidRPr="00A63D4D">
              <w:rPr>
                <w:rFonts w:ascii="Times New Roman" w:eastAsia="Times New Roman" w:hAnsi="Times New Roman" w:cs="Times New Roman"/>
                <w:kern w:val="0"/>
                <w:position w:val="6"/>
                <w:sz w:val="20"/>
                <w:szCs w:val="20"/>
                <w:vertAlign w:val="superscript"/>
                <w14:ligatures w14:val="none"/>
              </w:rPr>
              <w:t>5</w:t>
            </w:r>
          </w:p>
        </w:tc>
        <w:tc>
          <w:tcPr>
            <w:tcW w:w="1412" w:type="dxa"/>
            <w:vAlign w:val="center"/>
          </w:tcPr>
          <w:p w14:paraId="147A30C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2EAE214E"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69406D19"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every two</w:t>
            </w:r>
          </w:p>
          <w:p w14:paraId="67A64806"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weeks</w:t>
            </w:r>
            <w:r w:rsidRPr="00A63D4D">
              <w:rPr>
                <w:rFonts w:ascii="Times New Roman" w:eastAsia="Times New Roman" w:hAnsi="Times New Roman" w:cs="Times New Roman"/>
                <w:kern w:val="0"/>
                <w:position w:val="6"/>
                <w:sz w:val="20"/>
                <w:szCs w:val="20"/>
                <w:vertAlign w:val="superscript"/>
                <w14:ligatures w14:val="none"/>
              </w:rPr>
              <w:t>3</w:t>
            </w:r>
          </w:p>
        </w:tc>
        <w:tc>
          <w:tcPr>
            <w:tcW w:w="1260" w:type="dxa"/>
            <w:vAlign w:val="center"/>
          </w:tcPr>
          <w:p w14:paraId="7125F64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586500EA"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35E10107"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c>
          <w:tcPr>
            <w:tcW w:w="1170" w:type="dxa"/>
            <w:vAlign w:val="center"/>
          </w:tcPr>
          <w:p w14:paraId="13F1323A"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7/</w:t>
            </w:r>
            <w:proofErr w:type="spellStart"/>
            <w:r w:rsidRPr="00A63D4D">
              <w:rPr>
                <w:rFonts w:ascii="Times New Roman" w:eastAsia="Times New Roman" w:hAnsi="Times New Roman" w:cs="Times New Roman"/>
                <w:kern w:val="0"/>
                <w:sz w:val="20"/>
                <w:szCs w:val="20"/>
                <w14:ligatures w14:val="none"/>
              </w:rPr>
              <w:t>wk</w:t>
            </w:r>
            <w:proofErr w:type="spellEnd"/>
          </w:p>
        </w:tc>
      </w:tr>
      <w:tr w:rsidR="00A63D4D" w:rsidRPr="00A63D4D" w14:paraId="0914B8DD" w14:textId="77777777" w:rsidTr="00A825AD">
        <w:trPr>
          <w:cantSplit/>
          <w:trHeight w:val="480"/>
        </w:trPr>
        <w:tc>
          <w:tcPr>
            <w:tcW w:w="1440" w:type="dxa"/>
            <w:vAlign w:val="center"/>
          </w:tcPr>
          <w:p w14:paraId="282315DC"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Fecal Coliform</w:t>
            </w:r>
            <w:r w:rsidRPr="00A63D4D">
              <w:rPr>
                <w:rFonts w:ascii="Times New Roman" w:eastAsia="Times New Roman" w:hAnsi="Times New Roman" w:cs="Times New Roman"/>
                <w:kern w:val="0"/>
                <w:position w:val="6"/>
                <w:sz w:val="20"/>
                <w:szCs w:val="20"/>
                <w:vertAlign w:val="superscript"/>
                <w14:ligatures w14:val="none"/>
              </w:rPr>
              <w:t>4,6</w:t>
            </w:r>
          </w:p>
        </w:tc>
        <w:tc>
          <w:tcPr>
            <w:tcW w:w="1412" w:type="dxa"/>
            <w:vAlign w:val="center"/>
          </w:tcPr>
          <w:p w14:paraId="650A5E1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59C81834"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monthly</w:t>
            </w:r>
          </w:p>
        </w:tc>
        <w:tc>
          <w:tcPr>
            <w:tcW w:w="1440" w:type="dxa"/>
            <w:vAlign w:val="center"/>
          </w:tcPr>
          <w:p w14:paraId="6C557527"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every two</w:t>
            </w:r>
          </w:p>
          <w:p w14:paraId="257C5972"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weeks</w:t>
            </w:r>
            <w:r w:rsidRPr="00A63D4D">
              <w:rPr>
                <w:rFonts w:ascii="Times New Roman" w:eastAsia="Times New Roman" w:hAnsi="Times New Roman" w:cs="Times New Roman"/>
                <w:kern w:val="0"/>
                <w:position w:val="6"/>
                <w:sz w:val="20"/>
                <w:szCs w:val="20"/>
                <w:vertAlign w:val="superscript"/>
                <w14:ligatures w14:val="none"/>
              </w:rPr>
              <w:t>3</w:t>
            </w:r>
          </w:p>
        </w:tc>
        <w:tc>
          <w:tcPr>
            <w:tcW w:w="1260" w:type="dxa"/>
            <w:vAlign w:val="center"/>
          </w:tcPr>
          <w:p w14:paraId="2E80430E"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0999455C"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580682A8"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c>
          <w:tcPr>
            <w:tcW w:w="1170" w:type="dxa"/>
            <w:vAlign w:val="center"/>
          </w:tcPr>
          <w:p w14:paraId="0CCF55A1" w14:textId="77777777" w:rsidR="00A63D4D" w:rsidRPr="00A63D4D" w:rsidRDefault="00A63D4D" w:rsidP="00A63D4D">
            <w:pPr>
              <w:widowControl w:val="0"/>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daily 5/</w:t>
            </w:r>
            <w:proofErr w:type="spellStart"/>
            <w:r w:rsidRPr="00A63D4D">
              <w:rPr>
                <w:rFonts w:ascii="Times New Roman" w:eastAsia="Times New Roman" w:hAnsi="Times New Roman" w:cs="Times New Roman"/>
                <w:kern w:val="0"/>
                <w:sz w:val="20"/>
                <w:szCs w:val="20"/>
                <w14:ligatures w14:val="none"/>
              </w:rPr>
              <w:t>wk</w:t>
            </w:r>
            <w:proofErr w:type="spellEnd"/>
          </w:p>
        </w:tc>
      </w:tr>
      <w:tr w:rsidR="00A63D4D" w:rsidRPr="00A63D4D" w14:paraId="73AAE510" w14:textId="77777777" w:rsidTr="00A825AD">
        <w:trPr>
          <w:cantSplit/>
          <w:trHeight w:val="480"/>
        </w:trPr>
        <w:tc>
          <w:tcPr>
            <w:tcW w:w="1440" w:type="dxa"/>
            <w:vAlign w:val="center"/>
          </w:tcPr>
          <w:p w14:paraId="7B04B2AD"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Total Coliform</w:t>
            </w:r>
            <w:r w:rsidRPr="00A63D4D">
              <w:rPr>
                <w:rFonts w:ascii="Times New Roman" w:eastAsia="Times New Roman" w:hAnsi="Times New Roman" w:cs="Times New Roman"/>
                <w:kern w:val="0"/>
                <w:sz w:val="20"/>
                <w:szCs w:val="20"/>
                <w:vertAlign w:val="superscript"/>
                <w14:ligatures w14:val="none"/>
              </w:rPr>
              <w:t>7</w:t>
            </w:r>
            <w:r w:rsidRPr="00A63D4D">
              <w:rPr>
                <w:rFonts w:ascii="Times New Roman" w:eastAsia="Times New Roman" w:hAnsi="Times New Roman" w:cs="Times New Roman"/>
                <w:kern w:val="0"/>
                <w:sz w:val="20"/>
                <w:szCs w:val="20"/>
                <w14:ligatures w14:val="none"/>
              </w:rPr>
              <w:t xml:space="preserve"> </w:t>
            </w:r>
          </w:p>
        </w:tc>
        <w:tc>
          <w:tcPr>
            <w:tcW w:w="1412" w:type="dxa"/>
            <w:vAlign w:val="center"/>
          </w:tcPr>
          <w:p w14:paraId="7E47801E"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p>
        </w:tc>
        <w:tc>
          <w:tcPr>
            <w:tcW w:w="1440" w:type="dxa"/>
            <w:vAlign w:val="center"/>
          </w:tcPr>
          <w:p w14:paraId="180B070C"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p>
        </w:tc>
        <w:tc>
          <w:tcPr>
            <w:tcW w:w="1440" w:type="dxa"/>
            <w:vAlign w:val="center"/>
          </w:tcPr>
          <w:p w14:paraId="7A1A0C7B"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sz w:val="20"/>
                <w:szCs w:val="20"/>
                <w14:ligatures w14:val="none"/>
              </w:rPr>
              <w:t xml:space="preserve"> </w:t>
            </w:r>
          </w:p>
        </w:tc>
        <w:tc>
          <w:tcPr>
            <w:tcW w:w="1260" w:type="dxa"/>
            <w:vAlign w:val="center"/>
          </w:tcPr>
          <w:p w14:paraId="545DC291"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p>
        </w:tc>
        <w:tc>
          <w:tcPr>
            <w:tcW w:w="1260" w:type="dxa"/>
            <w:vAlign w:val="center"/>
          </w:tcPr>
          <w:p w14:paraId="2BFE267E"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sz w:val="20"/>
                <w:szCs w:val="20"/>
                <w14:ligatures w14:val="none"/>
              </w:rPr>
              <w:t xml:space="preserve"> </w:t>
            </w:r>
          </w:p>
        </w:tc>
        <w:tc>
          <w:tcPr>
            <w:tcW w:w="1260" w:type="dxa"/>
            <w:vAlign w:val="center"/>
          </w:tcPr>
          <w:p w14:paraId="5017863D"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sz w:val="20"/>
                <w:szCs w:val="20"/>
                <w14:ligatures w14:val="none"/>
              </w:rPr>
              <w:t xml:space="preserve"> </w:t>
            </w:r>
          </w:p>
        </w:tc>
        <w:tc>
          <w:tcPr>
            <w:tcW w:w="1170" w:type="dxa"/>
            <w:vAlign w:val="center"/>
          </w:tcPr>
          <w:p w14:paraId="3185C387" w14:textId="77777777" w:rsidR="00A63D4D" w:rsidRPr="00A63D4D" w:rsidRDefault="00A63D4D" w:rsidP="00A63D4D">
            <w:pPr>
              <w:widowControl w:val="0"/>
              <w:overflowPunct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 xml:space="preserve">daily/7 </w:t>
            </w:r>
            <w:proofErr w:type="spellStart"/>
            <w:r w:rsidRPr="00A63D4D">
              <w:rPr>
                <w:rFonts w:ascii="Times New Roman" w:eastAsia="Times New Roman" w:hAnsi="Times New Roman" w:cs="Times New Roman"/>
                <w:kern w:val="0"/>
                <w:sz w:val="20"/>
                <w:szCs w:val="20"/>
                <w14:ligatures w14:val="none"/>
              </w:rPr>
              <w:t>wk</w:t>
            </w:r>
            <w:proofErr w:type="spellEnd"/>
            <w:r w:rsidRPr="00A63D4D">
              <w:rPr>
                <w:rFonts w:ascii="Times New Roman" w:eastAsia="Times New Roman" w:hAnsi="Times New Roman" w:cs="Times New Roman"/>
                <w:kern w:val="0"/>
                <w:sz w:val="20"/>
                <w:szCs w:val="20"/>
                <w14:ligatures w14:val="none"/>
              </w:rPr>
              <w:t xml:space="preserve"> </w:t>
            </w:r>
          </w:p>
        </w:tc>
      </w:tr>
      <w:tr w:rsidR="00A63D4D" w:rsidRPr="00A63D4D" w14:paraId="171C1E95" w14:textId="77777777" w:rsidTr="00A825AD">
        <w:trPr>
          <w:cantSplit/>
          <w:trHeight w:val="480"/>
        </w:trPr>
        <w:tc>
          <w:tcPr>
            <w:tcW w:w="1440" w:type="dxa"/>
            <w:vAlign w:val="center"/>
          </w:tcPr>
          <w:p w14:paraId="7E227A8A"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 Coli</w:t>
            </w:r>
            <w:r w:rsidRPr="00A63D4D">
              <w:rPr>
                <w:rFonts w:ascii="Times New Roman" w:eastAsia="Times New Roman" w:hAnsi="Times New Roman" w:cs="Times New Roman"/>
                <w:kern w:val="0"/>
                <w:sz w:val="20"/>
                <w:szCs w:val="20"/>
                <w:vertAlign w:val="superscript"/>
                <w14:ligatures w14:val="none"/>
              </w:rPr>
              <w:t>9</w:t>
            </w:r>
          </w:p>
        </w:tc>
        <w:tc>
          <w:tcPr>
            <w:tcW w:w="1412" w:type="dxa"/>
            <w:vAlign w:val="center"/>
          </w:tcPr>
          <w:p w14:paraId="0BC3F759"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440" w:type="dxa"/>
            <w:vAlign w:val="center"/>
          </w:tcPr>
          <w:p w14:paraId="77F4C481"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440" w:type="dxa"/>
            <w:vAlign w:val="center"/>
          </w:tcPr>
          <w:p w14:paraId="04238B64"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62A73EFD"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45284A93"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35C1BB00"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170" w:type="dxa"/>
            <w:vAlign w:val="center"/>
          </w:tcPr>
          <w:p w14:paraId="642FC16B"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r>
      <w:tr w:rsidR="00A63D4D" w:rsidRPr="00A63D4D" w14:paraId="17AD546A" w14:textId="77777777" w:rsidTr="00A825AD">
        <w:trPr>
          <w:cantSplit/>
          <w:trHeight w:val="480"/>
        </w:trPr>
        <w:tc>
          <w:tcPr>
            <w:tcW w:w="1440" w:type="dxa"/>
            <w:vAlign w:val="center"/>
          </w:tcPr>
          <w:p w14:paraId="2CCE0582"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Entercocci</w:t>
            </w:r>
            <w:r w:rsidRPr="00A63D4D">
              <w:rPr>
                <w:rFonts w:ascii="Times New Roman" w:eastAsia="Times New Roman" w:hAnsi="Times New Roman" w:cs="Times New Roman"/>
                <w:kern w:val="0"/>
                <w:sz w:val="20"/>
                <w:szCs w:val="20"/>
                <w:vertAlign w:val="superscript"/>
                <w14:ligatures w14:val="none"/>
              </w:rPr>
              <w:t>10</w:t>
            </w:r>
          </w:p>
        </w:tc>
        <w:tc>
          <w:tcPr>
            <w:tcW w:w="1412" w:type="dxa"/>
            <w:vAlign w:val="center"/>
          </w:tcPr>
          <w:p w14:paraId="76B61BB9"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440" w:type="dxa"/>
            <w:vAlign w:val="center"/>
          </w:tcPr>
          <w:p w14:paraId="43527DB2" w14:textId="77777777" w:rsidR="00A63D4D" w:rsidRPr="00A63D4D" w:rsidRDefault="00A63D4D" w:rsidP="00A63D4D">
            <w:pPr>
              <w:widowControl w:val="0"/>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440" w:type="dxa"/>
            <w:vAlign w:val="center"/>
          </w:tcPr>
          <w:p w14:paraId="4EACE84F"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5A5905F3"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244620A8"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260" w:type="dxa"/>
            <w:vAlign w:val="center"/>
          </w:tcPr>
          <w:p w14:paraId="315F9DA8"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c>
          <w:tcPr>
            <w:tcW w:w="1170" w:type="dxa"/>
            <w:vAlign w:val="center"/>
          </w:tcPr>
          <w:p w14:paraId="3C2FFA97" w14:textId="77777777" w:rsidR="00A63D4D" w:rsidRPr="00A63D4D" w:rsidRDefault="00A63D4D" w:rsidP="00A63D4D">
            <w:pPr>
              <w:widowControl w:val="0"/>
              <w:overflowPunct w:val="0"/>
              <w:adjustRightInd w:val="0"/>
              <w:spacing w:after="0" w:line="260" w:lineRule="atLeast"/>
              <w:jc w:val="center"/>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t>weekly</w:t>
            </w:r>
          </w:p>
        </w:tc>
      </w:tr>
    </w:tbl>
    <w:p w14:paraId="6F8C2D03" w14:textId="77777777" w:rsidR="00A63D4D" w:rsidRPr="00A63D4D" w:rsidRDefault="00A63D4D" w:rsidP="00A63D4D">
      <w:pPr>
        <w:widowControl w:val="0"/>
        <w:tabs>
          <w:tab w:val="left" w:pos="360"/>
        </w:tabs>
        <w:overflowPunct w:val="0"/>
        <w:autoSpaceDE w:val="0"/>
        <w:autoSpaceDN w:val="0"/>
        <w:adjustRightInd w:val="0"/>
        <w:spacing w:before="60"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1</w:t>
      </w:r>
      <w:r w:rsidRPr="00A63D4D">
        <w:rPr>
          <w:rFonts w:ascii="Times New Roman" w:eastAsia="Times New Roman" w:hAnsi="Times New Roman" w:cs="Times New Roman"/>
          <w:kern w:val="0"/>
          <w:sz w:val="20"/>
          <w:szCs w:val="20"/>
          <w14:ligatures w14:val="none"/>
        </w:rPr>
        <w:t>Hourly measurements during the period of required operator attendance may be substituted for continuous measurement.</w:t>
      </w:r>
    </w:p>
    <w:p w14:paraId="6FA7C95E"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2</w:t>
      </w:r>
      <w:r w:rsidRPr="00A63D4D">
        <w:rPr>
          <w:rFonts w:ascii="Times New Roman" w:eastAsia="Times New Roman" w:hAnsi="Times New Roman" w:cs="Times New Roman"/>
          <w:kern w:val="0"/>
          <w:sz w:val="20"/>
          <w:szCs w:val="20"/>
          <w14:ligatures w14:val="none"/>
        </w:rPr>
        <w:t>Total chlorine residual measured for disinfection effectiveness (after chlorine contact). Hourly measurements during the period for required operator attendance may be substituted for continuous measurement except for systems permitted under Parts III and V of Chapter 62-610, F.A.C. Continuous measurement shall be provided for all systems permitted under Parts III and V of Chapter 62-610, F.A.C., regardless of permitted capacity.</w:t>
      </w:r>
    </w:p>
    <w:p w14:paraId="12E50FF7"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3</w:t>
      </w:r>
      <w:r w:rsidRPr="00A63D4D">
        <w:rPr>
          <w:rFonts w:ascii="Times New Roman" w:eastAsia="Times New Roman" w:hAnsi="Times New Roman" w:cs="Times New Roman"/>
          <w:kern w:val="0"/>
          <w:sz w:val="20"/>
          <w:szCs w:val="20"/>
          <w14:ligatures w14:val="none"/>
        </w:rPr>
        <w:t>Reuse and land application facilities (which include rapid-rate, slow-rate, absorption fields and other systems pursuant to Chapter 62-610, F.A.C.) less than 100,000 gpd, may sample monthly. (This reduction does not apply to injection wells pursuant to Chapter 62-528, F.A.C., and reuse systems requiring high-level disinfection.)</w:t>
      </w:r>
    </w:p>
    <w:p w14:paraId="78A23119"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4</w:t>
      </w:r>
      <w:r w:rsidRPr="00A63D4D">
        <w:rPr>
          <w:rFonts w:ascii="Times New Roman" w:eastAsia="Times New Roman" w:hAnsi="Times New Roman" w:cs="Times New Roman"/>
          <w:kern w:val="0"/>
          <w:sz w:val="20"/>
          <w:szCs w:val="20"/>
          <w14:ligatures w14:val="none"/>
        </w:rPr>
        <w:t xml:space="preserve">For reuse systems requiring high-level disinfection, samples shall be obtained and reported daily, 7 days per week for systems of 0.5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and greater, 4 days per week for systems of at least 50,000 gpd but less than 0.5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and 3 days per week for systems less than 50,000 gpd; or daily during the period required for operator attendance, whichever is less. At permit renewal, reduction to 4 days per week for systems of 0.5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and greater or to 3 days per week for systems of at least 50,000 gpd but less than 0.5 </w:t>
      </w:r>
      <w:proofErr w:type="spellStart"/>
      <w:r w:rsidRPr="00A63D4D">
        <w:rPr>
          <w:rFonts w:ascii="Times New Roman" w:eastAsia="Times New Roman" w:hAnsi="Times New Roman" w:cs="Times New Roman"/>
          <w:kern w:val="0"/>
          <w:sz w:val="20"/>
          <w:szCs w:val="20"/>
          <w14:ligatures w14:val="none"/>
        </w:rPr>
        <w:t>mgd</w:t>
      </w:r>
      <w:proofErr w:type="spellEnd"/>
      <w:r w:rsidRPr="00A63D4D">
        <w:rPr>
          <w:rFonts w:ascii="Times New Roman" w:eastAsia="Times New Roman" w:hAnsi="Times New Roman" w:cs="Times New Roman"/>
          <w:kern w:val="0"/>
          <w:sz w:val="20"/>
          <w:szCs w:val="20"/>
          <w14:ligatures w14:val="none"/>
        </w:rPr>
        <w:t xml:space="preserve"> may be requested if no violations </w:t>
      </w:r>
      <w:proofErr w:type="gramStart"/>
      <w:r w:rsidRPr="00A63D4D">
        <w:rPr>
          <w:rFonts w:ascii="Times New Roman" w:eastAsia="Times New Roman" w:hAnsi="Times New Roman" w:cs="Times New Roman"/>
          <w:kern w:val="0"/>
          <w:sz w:val="20"/>
          <w:szCs w:val="20"/>
          <w14:ligatures w14:val="none"/>
        </w:rPr>
        <w:t>for</w:t>
      </w:r>
      <w:proofErr w:type="gramEnd"/>
      <w:r w:rsidRPr="00A63D4D">
        <w:rPr>
          <w:rFonts w:ascii="Times New Roman" w:eastAsia="Times New Roman" w:hAnsi="Times New Roman" w:cs="Times New Roman"/>
          <w:kern w:val="0"/>
          <w:sz w:val="20"/>
          <w:szCs w:val="20"/>
          <w14:ligatures w14:val="none"/>
        </w:rPr>
        <w:t xml:space="preserve"> these parameters have occurred in the last 12 months. For systems requiring high-level disinfection, the reduction allowed by note 3 does not apply.</w:t>
      </w:r>
    </w:p>
    <w:p w14:paraId="01427908"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5</w:t>
      </w:r>
      <w:r w:rsidRPr="00A63D4D">
        <w:rPr>
          <w:rFonts w:ascii="Times New Roman" w:eastAsia="Times New Roman" w:hAnsi="Times New Roman" w:cs="Times New Roman"/>
          <w:kern w:val="0"/>
          <w:sz w:val="20"/>
          <w:szCs w:val="20"/>
          <w14:ligatures w14:val="none"/>
        </w:rPr>
        <w:t xml:space="preserve">Total chlorine residual measured for </w:t>
      </w:r>
      <w:proofErr w:type="spellStart"/>
      <w:r w:rsidRPr="00A63D4D">
        <w:rPr>
          <w:rFonts w:ascii="Times New Roman" w:eastAsia="Times New Roman" w:hAnsi="Times New Roman" w:cs="Times New Roman"/>
          <w:kern w:val="0"/>
          <w:sz w:val="20"/>
          <w:szCs w:val="20"/>
          <w14:ligatures w14:val="none"/>
        </w:rPr>
        <w:t>dechlorination</w:t>
      </w:r>
      <w:proofErr w:type="spellEnd"/>
      <w:r w:rsidRPr="00A63D4D">
        <w:rPr>
          <w:rFonts w:ascii="Times New Roman" w:eastAsia="Times New Roman" w:hAnsi="Times New Roman" w:cs="Times New Roman"/>
          <w:kern w:val="0"/>
          <w:sz w:val="20"/>
          <w:szCs w:val="20"/>
          <w14:ligatures w14:val="none"/>
        </w:rPr>
        <w:t xml:space="preserve"> effectiveness.</w:t>
      </w:r>
    </w:p>
    <w:p w14:paraId="6E29DF93"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6</w:t>
      </w:r>
      <w:r w:rsidRPr="00A63D4D">
        <w:rPr>
          <w:rFonts w:ascii="Times New Roman" w:eastAsia="Times New Roman" w:hAnsi="Times New Roman" w:cs="Times New Roman"/>
          <w:kern w:val="0"/>
          <w:sz w:val="20"/>
          <w:szCs w:val="20"/>
          <w14:ligatures w14:val="none"/>
        </w:rPr>
        <w:t xml:space="preserve">Not applicable to reuse systems discharging to Class I waters or waters contiguous to or tributary to Class I waters or to reuse systems injecting into Class F-I, G-I, or G-II ground waters. </w:t>
      </w:r>
    </w:p>
    <w:p w14:paraId="57730908"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vertAlign w:val="superscript"/>
          <w14:ligatures w14:val="none"/>
        </w:rPr>
        <w:t>7</w:t>
      </w:r>
      <w:r w:rsidRPr="00A63D4D">
        <w:rPr>
          <w:rFonts w:ascii="Times New Roman" w:eastAsia="Times New Roman" w:hAnsi="Times New Roman" w:cs="Times New Roman"/>
          <w:kern w:val="0"/>
          <w:sz w:val="20"/>
          <w:szCs w:val="20"/>
          <w14:ligatures w14:val="none"/>
        </w:rPr>
        <w:t xml:space="preserve">Applicable to reuse systems discharging to Class I waters or waters contiguous to or tributary to Class I waters or to reuse systems injecting into Class F-I, G-I, or G-II ground waters. These systems shall monitor 7 days per week for total </w:t>
      </w:r>
      <w:proofErr w:type="gramStart"/>
      <w:r w:rsidRPr="00A63D4D">
        <w:rPr>
          <w:rFonts w:ascii="Times New Roman" w:eastAsia="Times New Roman" w:hAnsi="Times New Roman" w:cs="Times New Roman"/>
          <w:kern w:val="0"/>
          <w:sz w:val="20"/>
          <w:szCs w:val="20"/>
          <w14:ligatures w14:val="none"/>
        </w:rPr>
        <w:t>coliform</w:t>
      </w:r>
      <w:proofErr w:type="gramEnd"/>
      <w:r w:rsidRPr="00A63D4D">
        <w:rPr>
          <w:rFonts w:ascii="Times New Roman" w:eastAsia="Times New Roman" w:hAnsi="Times New Roman" w:cs="Times New Roman"/>
          <w:kern w:val="0"/>
          <w:sz w:val="20"/>
          <w:szCs w:val="20"/>
          <w14:ligatures w14:val="none"/>
        </w:rPr>
        <w:t>, regardless of permitted capacity, as specified in Parts III and V of Chapter 62-610, F.A.C.</w:t>
      </w:r>
    </w:p>
    <w:p w14:paraId="732E5C3C" w14:textId="77777777" w:rsidR="00A63D4D" w:rsidRPr="00A63D4D" w:rsidRDefault="00A63D4D" w:rsidP="00A63D4D">
      <w:pPr>
        <w:widowControl w:val="0"/>
        <w:tabs>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position w:val="6"/>
          <w:sz w:val="20"/>
          <w:szCs w:val="20"/>
          <w:vertAlign w:val="superscript"/>
          <w14:ligatures w14:val="none"/>
        </w:rPr>
        <w:t>8</w:t>
      </w:r>
      <w:r w:rsidRPr="00A63D4D">
        <w:rPr>
          <w:rFonts w:ascii="Times New Roman" w:eastAsia="Times New Roman" w:hAnsi="Times New Roman" w:cs="Times New Roman"/>
          <w:kern w:val="0"/>
          <w:sz w:val="20"/>
          <w:szCs w:val="20"/>
          <w14:ligatures w14:val="none"/>
        </w:rPr>
        <w:t>The daily frequency shall be 2, 3, or 5 days per week consistent with the required operator attendance specified in paragraph 62-699.310(2)(a), F.A.C.</w:t>
      </w:r>
    </w:p>
    <w:p w14:paraId="54954BF4" w14:textId="77777777" w:rsidR="00A63D4D" w:rsidRPr="00A63D4D" w:rsidRDefault="00A63D4D" w:rsidP="00A63D4D">
      <w:pPr>
        <w:widowControl w:val="0"/>
        <w:tabs>
          <w:tab w:val="left" w:pos="360"/>
        </w:tabs>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vertAlign w:val="superscript"/>
          <w14:ligatures w14:val="none"/>
        </w:rPr>
        <w:t>9</w:t>
      </w:r>
      <w:r w:rsidRPr="00A63D4D">
        <w:rPr>
          <w:rFonts w:ascii="Times New Roman" w:eastAsia="Times New Roman" w:hAnsi="Times New Roman" w:cs="Times New Roman"/>
          <w:kern w:val="0"/>
          <w:sz w:val="20"/>
          <w:szCs w:val="20"/>
          <w14:ligatures w14:val="none"/>
        </w:rPr>
        <w:t>Applicable to surface water discharges to Class I and Class III freshwater in accordance with Rule 62-302.530, F.A.C.</w:t>
      </w:r>
    </w:p>
    <w:p w14:paraId="7E8FA7AE" w14:textId="77777777" w:rsidR="00A63D4D" w:rsidRPr="00A63D4D" w:rsidRDefault="00A63D4D" w:rsidP="00A63D4D">
      <w:pPr>
        <w:widowControl w:val="0"/>
        <w:tabs>
          <w:tab w:val="left" w:pos="360"/>
        </w:tabs>
        <w:overflowPunct w:val="0"/>
        <w:adjustRightInd w:val="0"/>
        <w:spacing w:after="0" w:line="260" w:lineRule="atLeast"/>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vertAlign w:val="superscript"/>
          <w14:ligatures w14:val="none"/>
        </w:rPr>
        <w:t>10</w:t>
      </w:r>
      <w:r w:rsidRPr="00A63D4D">
        <w:rPr>
          <w:rFonts w:ascii="Times New Roman" w:eastAsia="Times New Roman" w:hAnsi="Times New Roman" w:cs="Times New Roman"/>
          <w:kern w:val="0"/>
          <w:sz w:val="20"/>
          <w:szCs w:val="20"/>
          <w14:ligatures w14:val="none"/>
        </w:rPr>
        <w:t>Applicable to surface water discharges to predominately marine Class III waters in accordance with Rule 62-302.530, F.A.C.</w:t>
      </w:r>
    </w:p>
    <w:p w14:paraId="6820A875"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kern w:val="0"/>
          <w:sz w:val="20"/>
          <w:szCs w:val="20"/>
          <w14:ligatures w14:val="none"/>
        </w:rPr>
      </w:pPr>
      <w:r w:rsidRPr="00A63D4D">
        <w:rPr>
          <w:rFonts w:ascii="Times New Roman" w:eastAsia="Times New Roman" w:hAnsi="Times New Roman" w:cs="Times New Roman"/>
          <w:kern w:val="0"/>
          <w:sz w:val="20"/>
          <w:szCs w:val="20"/>
          <w14:ligatures w14:val="none"/>
        </w:rPr>
        <w:lastRenderedPageBreak/>
        <w:t>(2) through (4) No change.</w:t>
      </w:r>
    </w:p>
    <w:p w14:paraId="47EB8039" w14:textId="77777777" w:rsidR="00A63D4D" w:rsidRPr="00A63D4D" w:rsidRDefault="00A63D4D" w:rsidP="00A63D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i/>
          <w:kern w:val="0"/>
          <w:sz w:val="18"/>
          <w:szCs w:val="18"/>
          <w14:ligatures w14:val="none"/>
        </w:rPr>
      </w:pPr>
      <w:r w:rsidRPr="00A63D4D">
        <w:rPr>
          <w:rFonts w:ascii="Times New Roman" w:eastAsia="Times New Roman" w:hAnsi="Times New Roman" w:cs="Times New Roman"/>
          <w:i/>
          <w:kern w:val="0"/>
          <w:sz w:val="18"/>
          <w:szCs w:val="18"/>
          <w14:ligatures w14:val="none"/>
        </w:rPr>
        <w:t>Rulemaking Authority 403.061(7) FS. Law Implemented 403.061(13) FS. History‒New 2-8-16, Amended 9-27-21</w:t>
      </w:r>
      <w:r w:rsidRPr="00A63D4D">
        <w:rPr>
          <w:rFonts w:ascii="Times New Roman" w:eastAsia="Times New Roman" w:hAnsi="Times New Roman" w:cs="Times New Roman"/>
          <w:i/>
          <w:noProof/>
          <w:color w:val="000000"/>
          <w:kern w:val="0"/>
          <w:sz w:val="18"/>
          <w:szCs w:val="20"/>
          <w:u w:val="single"/>
          <w14:ligatures w14:val="none"/>
        </w:rPr>
        <w:t>, xx-xx-xx</w:t>
      </w:r>
      <w:r w:rsidRPr="00A63D4D">
        <w:rPr>
          <w:rFonts w:ascii="Times New Roman" w:eastAsia="Times New Roman" w:hAnsi="Times New Roman" w:cs="Times New Roman"/>
          <w:i/>
          <w:kern w:val="0"/>
          <w:sz w:val="18"/>
          <w:szCs w:val="18"/>
          <w14:ligatures w14:val="none"/>
        </w:rPr>
        <w:t>.</w:t>
      </w:r>
    </w:p>
    <w:p w14:paraId="30A2DDE1" w14:textId="77777777" w:rsidR="00A63D4D" w:rsidRPr="00A63D4D" w:rsidRDefault="00A63D4D" w:rsidP="00A63D4D">
      <w:pPr>
        <w:widowControl w:val="0"/>
        <w:spacing w:before="120" w:after="120" w:line="260" w:lineRule="atLeast"/>
        <w:jc w:val="center"/>
        <w:rPr>
          <w:rFonts w:ascii="Times New Roman" w:eastAsia="Times New Roman" w:hAnsi="Times New Roman" w:cs="Times New Roman"/>
          <w:b/>
          <w:kern w:val="0"/>
          <w:sz w:val="20"/>
          <w:szCs w:val="20"/>
          <w14:ligatures w14:val="none"/>
        </w:rPr>
      </w:pPr>
      <w:r w:rsidRPr="00A63D4D">
        <w:rPr>
          <w:rFonts w:ascii="Times New Roman" w:eastAsia="Times New Roman" w:hAnsi="Times New Roman" w:cs="Times New Roman"/>
          <w:b/>
          <w:kern w:val="0"/>
          <w:sz w:val="20"/>
          <w:szCs w:val="20"/>
          <w14:ligatures w14:val="none"/>
        </w:rPr>
        <w:t>PART V PERMITTING</w:t>
      </w:r>
    </w:p>
    <w:p w14:paraId="7326CC0A"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outlineLvl w:val="1"/>
        <w:rPr>
          <w:rFonts w:ascii="Times New Roman" w:eastAsia="Times New Roman" w:hAnsi="Times New Roman" w:cs="Times New Roman"/>
          <w:b/>
          <w:bCs/>
          <w:noProof/>
          <w:color w:val="000000"/>
          <w:kern w:val="0"/>
          <w:sz w:val="20"/>
          <w:szCs w:val="20"/>
          <w:u w:val="single"/>
          <w14:ligatures w14:val="none"/>
        </w:rPr>
      </w:pPr>
      <w:r w:rsidRPr="00A63D4D">
        <w:rPr>
          <w:rFonts w:ascii="Times New Roman" w:eastAsia="Times New Roman" w:hAnsi="Times New Roman" w:cs="Times New Roman"/>
          <w:b/>
          <w:bCs/>
          <w:noProof/>
          <w:color w:val="000000"/>
          <w:kern w:val="0"/>
          <w:sz w:val="20"/>
          <w:szCs w:val="20"/>
          <w:u w:val="single"/>
          <w14:ligatures w14:val="none"/>
        </w:rPr>
        <w:t>62-600.707 Distributed Wastewater Treatment Systems and Distributed Wastewater Treatment Units.</w:t>
      </w:r>
    </w:p>
    <w:p w14:paraId="326E8A87"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color w:val="000000"/>
          <w:sz w:val="20"/>
          <w:szCs w:val="20"/>
          <w:u w:val="single"/>
          <w14:ligatures w14:val="none"/>
        </w:rPr>
      </w:pPr>
      <w:r w:rsidRPr="00A63D4D">
        <w:rPr>
          <w:rFonts w:ascii="Times New Roman" w:eastAsia="Times New Roman" w:hAnsi="Times New Roman" w:cs="Times New Roman"/>
          <w:color w:val="000000"/>
          <w:sz w:val="20"/>
          <w:szCs w:val="20"/>
          <w:u w:val="single"/>
          <w14:ligatures w14:val="none"/>
        </w:rPr>
        <w:t>(1) All Distributed Wastewater Treatment Units (DWTU) and Distributed Wastewater Treatment Systems (DWTS) shall meet the requirements of this section.</w:t>
      </w:r>
    </w:p>
    <w:p w14:paraId="55C5304A"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color w:val="000000"/>
          <w:sz w:val="20"/>
          <w:szCs w:val="20"/>
          <w:u w:val="single"/>
          <w14:ligatures w14:val="none"/>
        </w:rPr>
      </w:pPr>
      <w:r w:rsidRPr="00A63D4D">
        <w:rPr>
          <w:rFonts w:ascii="Times New Roman" w:eastAsia="Times New Roman" w:hAnsi="Times New Roman" w:cs="Times New Roman"/>
          <w:color w:val="000000"/>
          <w:sz w:val="20"/>
          <w:szCs w:val="20"/>
          <w:u w:val="single"/>
          <w14:ligatures w14:val="none"/>
        </w:rPr>
        <w:t>(a) This section applies to a DWTU that is installed and operated as part of a permitted DWTS meeting the definitions in Rule 62-600.200, F.A.C. The replacement of an existing onsite sewage treatment and disposal system (OSTDS) with a DWTU is authorized under Section 403.814(13) F.S. All other DWTSs are subject to the standard permitting provisions of this chapter and Chapter 62-620, F.A.C.</w:t>
      </w:r>
    </w:p>
    <w:p w14:paraId="08DA5928"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color w:val="000000"/>
          <w:sz w:val="20"/>
          <w:szCs w:val="20"/>
          <w:u w:val="single"/>
          <w14:ligatures w14:val="none"/>
        </w:rPr>
      </w:pPr>
      <w:r w:rsidRPr="00A63D4D">
        <w:rPr>
          <w:rFonts w:ascii="Times New Roman" w:eastAsia="Times New Roman" w:hAnsi="Times New Roman" w:cs="Times New Roman"/>
          <w:color w:val="000000"/>
          <w:sz w:val="20"/>
          <w:szCs w:val="20"/>
          <w:u w:val="single"/>
          <w14:ligatures w14:val="none"/>
        </w:rPr>
        <w:t>(b) General Requirements:</w:t>
      </w:r>
    </w:p>
    <w:p w14:paraId="3B9B17F1"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color w:val="000000"/>
          <w:sz w:val="20"/>
          <w:szCs w:val="20"/>
          <w:u w:val="single"/>
          <w14:ligatures w14:val="none"/>
        </w:rPr>
        <w:t>1</w:t>
      </w:r>
      <w:r w:rsidRPr="00A63D4D">
        <w:rPr>
          <w:rFonts w:ascii="Times New Roman" w:eastAsia="Times New Roman" w:hAnsi="Times New Roman" w:cs="Times New Roman"/>
          <w:noProof/>
          <w:color w:val="000000"/>
          <w:sz w:val="20"/>
          <w:szCs w:val="20"/>
          <w:u w:val="single"/>
          <w14:ligatures w14:val="none"/>
        </w:rPr>
        <w:t>. DWTUs within a DWTS shall be commonly owned, and shall be operated and maintained under the authorities of the DWTS permittee in accordance with this chapter.</w:t>
      </w:r>
    </w:p>
    <w:p w14:paraId="47F24C2C"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2. The permittee of the DWTS shall enter into or benefit from an agreement, easement, or other legal mechanism providing for installation, operation, and maintenance of each DWTU prior to installation.</w:t>
      </w:r>
    </w:p>
    <w:p w14:paraId="356102BC"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3. A permitted DWTS and its associated DWTUs shall be located within a single specified county in Florida. </w:t>
      </w:r>
    </w:p>
    <w:p w14:paraId="65B2BC76"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4. The DWTU may discharge without disinfection, except as specified in subsection 62-600.440(1), F.A.C., into a slow-rate subsurface application system that is operated in accordance with this chapter.</w:t>
      </w:r>
    </w:p>
    <w:p w14:paraId="14F4F6BA"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5. The slow-rate subsurface application system for the DWTU shall meet the horizontal setback distance requirements set forth in Rule 62-6.005, F.A.C., or provide for disinfection in accordance with the applicable provisions of subsection 62-600.440(1), F.A.C. </w:t>
      </w:r>
    </w:p>
    <w:p w14:paraId="14A9FAB7"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6. The slow-rate subsurface application system for the DWTU shall be consistent with the site evalaution criteria of section 62-6.006, F.A.C., including the elevation of the bottom surface of the drainfield, or for replacement of an existing onsite sewage treatment and disposal system subject to regulation under section 381.0065, F.S., the DWTU installation shall maintain the current separation between the drainfield and the water table at the wettest season of the year, but in no case shall there be less than 12 inches of separation, between the bottom surface of the drainfield and the water table elevation at the wettest season of the year.</w:t>
      </w:r>
    </w:p>
    <w:p w14:paraId="5803FA59"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(c) Prohibitions: The operation of a DWTU and associated subsurface application system may not:</w:t>
      </w:r>
    </w:p>
    <w:p w14:paraId="2BA80731"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 Create saturated conditions on the ground surface;</w:t>
      </w:r>
    </w:p>
    <w:p w14:paraId="6828BAFD"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 Adversely impact wetlands or other surface waters;</w:t>
      </w:r>
    </w:p>
    <w:p w14:paraId="7D9A741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3. Cause or contribute to a violation of state water quality standards; or,</w:t>
      </w:r>
    </w:p>
    <w:p w14:paraId="2964A40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14:ligatures w14:val="none"/>
        </w:rPr>
        <w:tab/>
      </w:r>
      <w:r w:rsidRPr="00A63D4D">
        <w:rPr>
          <w:rFonts w:ascii="Times New Roman" w:eastAsia="Times New Roman" w:hAnsi="Times New Roman" w:cs="Times New Roman"/>
          <w:noProof/>
          <w:color w:val="000000"/>
          <w:kern w:val="0"/>
          <w:sz w:val="20"/>
          <w:szCs w:val="20"/>
          <w:u w:val="single"/>
          <w14:ligatures w14:val="none"/>
        </w:rPr>
        <w:t>4. Cause a sanitary nuisance.</w:t>
      </w:r>
    </w:p>
    <w:p w14:paraId="14F6266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(d) DWTU Minimum Design Requirements: All DWTUs shall be designed to meet the following:</w:t>
      </w:r>
    </w:p>
    <w:p w14:paraId="422CAA5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 Provide, at a minimum, secondary treatment of wastewater prior to disposal as provided in subsection 62-600.420(3), F.A.C.</w:t>
      </w:r>
    </w:p>
    <w:p w14:paraId="468FB2C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2. Design flow for a DWTU shall not exceed 10,000 gallons per day of domestic wastewater or 5,000 gallons per day of commercial wastewater. </w:t>
      </w:r>
    </w:p>
    <w:p w14:paraId="11CA8112"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3. The DWTU design and installation shall provide a means for periodic collection of representative samples of the effluent discharge from the DWTU.</w:t>
      </w:r>
    </w:p>
    <w:p w14:paraId="20C63DE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4. The DWTU shall be designed to provide 80% total nitrogen removal.</w:t>
      </w:r>
    </w:p>
    <w:p w14:paraId="70424AEB"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(e) DWTU Minimum Treatment Requirements: If a DWTU does not meet the </w:t>
      </w:r>
      <w:r w:rsidRPr="00A63D4D">
        <w:rPr>
          <w:rFonts w:ascii="Times New Roman" w:eastAsia="Times New Roman" w:hAnsi="Times New Roman" w:cs="Times New Roman"/>
          <w:kern w:val="0"/>
          <w:sz w:val="20"/>
          <w:szCs w:val="20"/>
          <w:u w:val="single"/>
          <w14:ligatures w14:val="none"/>
        </w:rPr>
        <w:t xml:space="preserve">maximum-permissible concentration in any single sample </w:t>
      </w:r>
      <w:r w:rsidRPr="00A63D4D">
        <w:rPr>
          <w:rFonts w:ascii="Times New Roman" w:eastAsia="Times New Roman" w:hAnsi="Times New Roman" w:cs="Times New Roman"/>
          <w:noProof/>
          <w:color w:val="000000"/>
          <w:kern w:val="0"/>
          <w:sz w:val="20"/>
          <w:szCs w:val="20"/>
          <w:u w:val="single"/>
          <w14:ligatures w14:val="none"/>
        </w:rPr>
        <w:t xml:space="preserve">as defined in subsection 62-600.420(3), F.A.C., the procedure in subsection 62-600.707(3), F.A.C., shall apply. </w:t>
      </w:r>
      <w:r w:rsidRPr="00A63D4D">
        <w:rPr>
          <w:rFonts w:ascii="Times New Roman" w:eastAsia="Times New Roman" w:hAnsi="Times New Roman" w:cs="Times New Roman"/>
          <w:color w:val="000000"/>
          <w:kern w:val="0"/>
          <w:sz w:val="20"/>
          <w:szCs w:val="20"/>
          <w:u w:val="single"/>
          <w14:ligatures w14:val="none"/>
        </w:rPr>
        <w:t>Total nitrogen reduction shall be consistent with the design requirements of 80% total nitrogen removal.</w:t>
      </w:r>
    </w:p>
    <w:p w14:paraId="3A40FE73"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(f) DWTS Minimum Treatment Requirements: To detemine DWTS compliance, DWTU sample results shall be aggregated using an arithmetic mean. Where multiple samples are collected in a single day, results for each sample must be aggregated using an arithmetic mean to provide an aggregated single sample result.</w:t>
      </w:r>
    </w:p>
    <w:p w14:paraId="6A6E5CF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1. At a minimum, the aggregated results must meet secondary treatment requirements as specified in subsection 62-600.420(3), F.A.C.: </w:t>
      </w:r>
    </w:p>
    <w:p w14:paraId="26F14BBF"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 The minimum and maximum pH results across the DWTS shall meet the pH range set forth in Rule 62-600.445, F.A.C.</w:t>
      </w:r>
    </w:p>
    <w:p w14:paraId="11F393F7"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3. The aggregate annual average of total nitrogen removal for a DWTS shall not be less than 80%, determined as the reduction in concentration measured from influent to effluent. Total nitrogen removal shall be a rolling annual average based on aggregated </w:t>
      </w:r>
      <w:r w:rsidRPr="00A63D4D">
        <w:rPr>
          <w:rFonts w:ascii="Times New Roman" w:eastAsia="Times New Roman" w:hAnsi="Times New Roman" w:cs="Times New Roman"/>
          <w:noProof/>
          <w:color w:val="000000"/>
          <w:kern w:val="0"/>
          <w:sz w:val="20"/>
          <w:szCs w:val="20"/>
          <w:u w:val="single"/>
          <w14:ligatures w14:val="none"/>
        </w:rPr>
        <w:lastRenderedPageBreak/>
        <w:t>monthly samples. For compliance with this provision, the influent concentration may be determined by collecting and analyzing, consistent with subsection 62-600.707(3), F.A.C., a representative sample set from permitted DWTUs for the DWTS. If influent samples results are unavailable, the permittee may use a representative Department-approved influent concentration. This aggregate annual average for total nitrogen removal shall be reported monthly on the Discharge Monitoring Report (DMR) for the DWTS.</w:t>
      </w:r>
    </w:p>
    <w:p w14:paraId="48801956"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Aptos" w:hAnsi="Times New Roman" w:cs="Times New Roman"/>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(g) Annual Inspection:</w:t>
      </w:r>
      <w:r w:rsidRPr="00A63D4D">
        <w:rPr>
          <w:rFonts w:ascii="Times New Roman" w:eastAsia="Times New Roman" w:hAnsi="Times New Roman" w:cs="Times New Roman"/>
          <w:noProof/>
          <w:color w:val="000000"/>
          <w:kern w:val="0"/>
          <w:sz w:val="20"/>
          <w:szCs w:val="20"/>
          <w:u w:val="single"/>
          <w14:ligatures w14:val="none"/>
        </w:rPr>
        <w:t xml:space="preserve"> All operational DWTUs shall be physically inspected at least once annually</w:t>
      </w:r>
      <w:r w:rsidRPr="00A63D4D">
        <w:rPr>
          <w:rFonts w:ascii="Times New Roman" w:eastAsia="Times New Roman" w:hAnsi="Times New Roman" w:cs="Times New Roman"/>
          <w:noProof/>
          <w:color w:val="000000"/>
          <w:sz w:val="20"/>
          <w:szCs w:val="20"/>
          <w:u w:val="single"/>
          <w14:ligatures w14:val="none"/>
        </w:rPr>
        <w:t xml:space="preserve"> by a </w:t>
      </w:r>
      <w:r w:rsidRPr="00A63D4D">
        <w:rPr>
          <w:rFonts w:ascii="Times New Roman" w:eastAsia="Times New Roman" w:hAnsi="Times New Roman" w:cs="Times New Roman"/>
          <w:color w:val="000000"/>
          <w:sz w:val="20"/>
          <w:u w:val="single"/>
          <w14:ligatures w14:val="none"/>
        </w:rPr>
        <w:t>technician trained</w:t>
      </w:r>
      <w:r w:rsidRPr="00A63D4D">
        <w:rPr>
          <w:rFonts w:ascii="Times New Roman" w:eastAsia="Times New Roman" w:hAnsi="Times New Roman" w:cs="Times New Roman"/>
          <w:noProof/>
          <w:color w:val="000000"/>
          <w:sz w:val="20"/>
          <w:szCs w:val="20"/>
          <w:u w:val="single"/>
          <w14:ligatures w14:val="none"/>
        </w:rPr>
        <w:t xml:space="preserve"> by the manufacturer or professional engineer who designed or is responsible for the DWTU to evaluate the ability of the DWTU to function as intended, the physical condition and performance of each treatment component of the DWTU, the condition of the receiving </w:t>
      </w:r>
      <w:r w:rsidRPr="00A63D4D">
        <w:rPr>
          <w:rFonts w:ascii="Times New Roman" w:eastAsia="Times New Roman" w:hAnsi="Times New Roman" w:cs="Times New Roman"/>
          <w:noProof/>
          <w:color w:val="000000"/>
          <w:kern w:val="0"/>
          <w:sz w:val="20"/>
          <w:szCs w:val="20"/>
          <w:u w:val="single"/>
          <w14:ligatures w14:val="none"/>
        </w:rPr>
        <w:t>subsurface application system</w:t>
      </w:r>
      <w:r w:rsidRPr="00A63D4D">
        <w:rPr>
          <w:rFonts w:ascii="Times New Roman" w:eastAsia="Times New Roman" w:hAnsi="Times New Roman" w:cs="Times New Roman"/>
          <w:noProof/>
          <w:color w:val="000000"/>
          <w:sz w:val="20"/>
          <w:szCs w:val="20"/>
          <w:u w:val="single"/>
          <w14:ligatures w14:val="none"/>
        </w:rPr>
        <w:t>, and any other noted problems or deficiencies.</w:t>
      </w:r>
    </w:p>
    <w:p w14:paraId="7558D154"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(h) Recordkeeping Requirements. All records, notes, monitoring data, and other information relating to the installation, construction, or operation of DWTUs, or to the operation of a DWTS, shall be maintained at the site identifed for the DWTS or maintained electronically by the permittee, and shall otherwise comply with the recordkeeping requirements specified under Rule 62-620.350, F.A.C. The following records shall be maintained and available for inspection by the Department:</w:t>
      </w:r>
    </w:p>
    <w:p w14:paraId="6B63829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 Records of all compliance monitoring information, including all calibration and maintenance records and all original strip chart recordings for continuous monitoring instrumentation, including, if applicable, a copy of the laboratory certification showing the certification number of the laboratory, for at least three years from the date the sample or measurement was taken.</w:t>
      </w:r>
    </w:p>
    <w:p w14:paraId="6395DD74"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 Copies of all reports, other than those required in subparagraph 1., 4., and 6., of this paragraph, are required to be retained for at least three years from the date the report was prepared;</w:t>
      </w:r>
    </w:p>
    <w:p w14:paraId="075D9C10"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3. Records of all data, including reports and documents, used to complete the application for the permit for at least three years from the date the application was filed;</w:t>
      </w:r>
    </w:p>
    <w:p w14:paraId="2D38BB0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4. Monitoring information, including a copy of the laboratory certification showing the laboratory certification number, related to the residuals use and disposal activities for the time period set forth in Chapter 62-640, F.A.C., or for at least three years from the date of sampling or measurement;</w:t>
      </w:r>
    </w:p>
    <w:p w14:paraId="746BAB45"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5. Copies of the licenses of the current certified operators; and,</w:t>
      </w:r>
    </w:p>
    <w:p w14:paraId="61966AF4"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6. Copies of the logs and schedules showing DWTU operations and equipment maintenance for three years from the date on the logs or schedules. Operation and maintenance log data must be accessible upon request and protected from weather damage. If kept electronically, operator must ensure adequate data storage capacity and data backup. Entries made by recording equipment shall be date/time stamped. Entries made by an operator shall be date/time stamped and accompanied by an electronic signature unique to, and under the sole control of, the operator. Logs shall reflect the initial date a DWTU is placed into operation.</w:t>
      </w:r>
    </w:p>
    <w:p w14:paraId="6291FA44"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(i) All DWTS permittees shall be responsible for providing notice to the appropriate Department district office within 72 hours of discovery of any instances detailed below in subparagraph 1. through 4. The notice shall include information on the quality and quantity of influent introduced into the DWTU and any anticipated impact on the quality or quantity of effluent discharging from the DWTU.</w:t>
      </w:r>
    </w:p>
    <w:p w14:paraId="153AE490"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 Any changes to a DWTU’s average daily flow outside of the DWTU’s maximum design flow, any introduction of toxic, hazardous, or industrial waste to a DWTU, any change from domestic wastewater to commercial wastewater to a DWTU, or any other changes in the wastewater flow to a DWTU that would be expected to adversely affect the treatment performance of the DWTU;</w:t>
      </w:r>
    </w:p>
    <w:p w14:paraId="0F5F2455"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2. Any instances where a DWTU has failed from reasons other than loss of power for periods in excess of 72 hours;</w:t>
      </w:r>
    </w:p>
    <w:p w14:paraId="50019750"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3. Any instances of repairs or emergency maintenance that resulted in a DWTU being offline</w:t>
      </w:r>
      <w:r w:rsidRPr="00A63D4D">
        <w:rPr>
          <w:rFonts w:ascii="Times New Roman" w:eastAsia="Times New Roman" w:hAnsi="Times New Roman" w:cs="Times New Roman"/>
          <w:color w:val="000000"/>
          <w:sz w:val="20"/>
          <w:szCs w:val="20"/>
          <w:u w:val="single"/>
          <w14:ligatures w14:val="none"/>
        </w:rPr>
        <w:t xml:space="preserve"> for more than 72 hours; and,</w:t>
      </w:r>
    </w:p>
    <w:p w14:paraId="6816A802" w14:textId="77777777"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4. Any instances when the prohibitions in subparagrah </w:t>
      </w:r>
      <w:r w:rsidRPr="00A63D4D">
        <w:rPr>
          <w:rFonts w:ascii="Times New Roman" w:eastAsia="Times New Roman" w:hAnsi="Times New Roman" w:cs="Times New Roman"/>
          <w:color w:val="000000"/>
          <w:sz w:val="20"/>
          <w:szCs w:val="20"/>
          <w:u w:val="single"/>
          <w14:ligatures w14:val="none"/>
        </w:rPr>
        <w:t>(c)</w:t>
      </w:r>
      <w:r w:rsidRPr="00A63D4D">
        <w:rPr>
          <w:rFonts w:ascii="Times New Roman" w:eastAsia="Times New Roman" w:hAnsi="Times New Roman" w:cs="Times New Roman"/>
          <w:noProof/>
          <w:color w:val="000000"/>
          <w:sz w:val="20"/>
          <w:szCs w:val="20"/>
          <w:u w:val="single"/>
          <w14:ligatures w14:val="none"/>
        </w:rPr>
        <w:t xml:space="preserve"> above occur or any other instances of non-compliance with the requirements of Rule 62-600.707, F.A.C.</w:t>
      </w:r>
    </w:p>
    <w:p w14:paraId="48384DA9"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(j) Biosolids management.</w:t>
      </w:r>
      <w:r w:rsidRPr="00A63D4D">
        <w:rPr>
          <w:rFonts w:ascii="Times New Roman" w:eastAsia="Times New Roman" w:hAnsi="Times New Roman" w:cs="Times New Roman"/>
          <w:noProof/>
          <w:color w:val="000000"/>
          <w:sz w:val="20"/>
          <w:szCs w:val="20"/>
          <w:u w:val="single"/>
          <w14:ligatures w14:val="none"/>
        </w:rPr>
        <w:t xml:space="preserve"> Biosolids, or other materials pumped from DWTUs, shall be either transferred to a biosolids treatment facility in accordance with Chapter 62-640, F.A.C., or handled as septage. Hauling records, for any biosolids or other materials pumped from a DWTU, shall be maintained for a minimum of five years.</w:t>
      </w:r>
    </w:p>
    <w:p w14:paraId="33082CAE"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 DWTS and DWTU Notification and Certification</w:t>
      </w:r>
      <w:r w:rsidRPr="00A63D4D">
        <w:rPr>
          <w:rFonts w:ascii="Times New Roman" w:eastAsia="Times New Roman" w:hAnsi="Times New Roman" w:cs="Times New Roman"/>
          <w:noProof/>
          <w:color w:val="000000"/>
          <w:sz w:val="20"/>
          <w:szCs w:val="20"/>
          <w:u w:val="single"/>
          <w14:ligatures w14:val="none"/>
        </w:rPr>
        <w:t xml:space="preserve"> Requirements</w:t>
      </w:r>
      <w:r w:rsidRPr="00A63D4D">
        <w:rPr>
          <w:rFonts w:ascii="Times New Roman" w:eastAsia="Times New Roman" w:hAnsi="Times New Roman" w:cs="Times New Roman"/>
          <w:noProof/>
          <w:color w:val="000000"/>
          <w:kern w:val="0"/>
          <w:sz w:val="20"/>
          <w:szCs w:val="20"/>
          <w:u w:val="single"/>
          <w14:ligatures w14:val="none"/>
        </w:rPr>
        <w:t>:</w:t>
      </w:r>
    </w:p>
    <w:p w14:paraId="5BA6D258" w14:textId="77777777" w:rsidR="00A63D4D" w:rsidRPr="00A63D4D" w:rsidRDefault="00A63D4D" w:rsidP="00A63D4D">
      <w:pPr>
        <w:tabs>
          <w:tab w:val="left" w:pos="360"/>
          <w:tab w:val="left" w:pos="360"/>
          <w:tab w:val="left" w:pos="360"/>
          <w:tab w:val="left" w:pos="360"/>
        </w:tabs>
        <w:spacing w:after="0" w:line="259" w:lineRule="auto"/>
        <w:ind w:firstLine="360"/>
        <w:jc w:val="both"/>
        <w:rPr>
          <w:rFonts w:ascii="Times New Roman" w:eastAsia="Times New Roman" w:hAnsi="Times New Roman" w:cs="Times New Roman"/>
          <w:color w:val="00000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(a) The notification as required by subsection 403.814(13)(b), F.S., </w:t>
      </w:r>
      <w:r w:rsidRPr="00A63D4D">
        <w:rPr>
          <w:rFonts w:ascii="Times New Roman" w:eastAsia="Times New Roman" w:hAnsi="Times New Roman" w:cs="Times New Roman"/>
          <w:color w:val="000000"/>
          <w:sz w:val="20"/>
          <w:szCs w:val="20"/>
          <w:u w:val="single"/>
          <w14:ligatures w14:val="none"/>
        </w:rPr>
        <w:t xml:space="preserve">must be submitted on DEP Form 62-600.707(2)(a), Distributed Wastewater Treatment Unit (DWTU) General Permit Notification, effective [proposed effective date], </w:t>
      </w:r>
      <w:hyperlink r:id="rId10" w:history="1">
        <w:r w:rsidRPr="00A63D4D">
          <w:rPr>
            <w:rFonts w:ascii="Times New Roman" w:eastAsia="Times New Roman" w:hAnsi="Times New Roman" w:cs="Times New Roman"/>
            <w:noProof/>
            <w:color w:val="467886"/>
            <w:sz w:val="20"/>
            <w:szCs w:val="20"/>
            <w:u w:val="single"/>
            <w14:ligatures w14:val="none"/>
          </w:rPr>
          <w:t>http://www.flrules.org/Gateway/reference.asp?No=Ref-XXXX</w:t>
        </w:r>
      </w:hyperlink>
      <w:r w:rsidRPr="00A63D4D">
        <w:rPr>
          <w:rFonts w:ascii="Times New Roman" w:eastAsia="Times New Roman" w:hAnsi="Times New Roman" w:cs="Times New Roman"/>
          <w:noProof/>
          <w:color w:val="000000"/>
          <w:sz w:val="20"/>
          <w:szCs w:val="20"/>
          <w:u w:val="single"/>
          <w14:ligatures w14:val="none"/>
        </w:rPr>
        <w:t>, hereby adopted and incorporated by reference, and must</w:t>
      </w:r>
      <w:r w:rsidRPr="00A63D4D">
        <w:rPr>
          <w:rFonts w:ascii="Times New Roman" w:eastAsia="Times New Roman" w:hAnsi="Times New Roman" w:cs="Times New Roman"/>
          <w:noProof/>
          <w:color w:val="000000"/>
          <w:kern w:val="0"/>
          <w:sz w:val="20"/>
          <w:szCs w:val="20"/>
          <w:u w:val="single"/>
          <w14:ligatures w14:val="none"/>
        </w:rPr>
        <w:t xml:space="preserve"> be received at least 30 days prior to installation. </w:t>
      </w:r>
      <w:r w:rsidRPr="00A63D4D">
        <w:rPr>
          <w:rFonts w:ascii="Times New Roman" w:eastAsia="Times New Roman" w:hAnsi="Times New Roman" w:cs="Times New Roman"/>
          <w:noProof/>
          <w:color w:val="000000"/>
          <w:sz w:val="20"/>
          <w:szCs w:val="20"/>
          <w:u w:val="single"/>
          <w14:ligatures w14:val="none"/>
        </w:rPr>
        <w:t>All certifications shall include the following:</w:t>
      </w:r>
    </w:p>
    <w:p w14:paraId="29E07095"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1. Identification of the DWTU using a unique indentifying number, latitude and longitude, property address, and site plan;</w:t>
      </w:r>
    </w:p>
    <w:p w14:paraId="224BCC3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2. The minimum and maximum design flows based on the specific application and the design capacity of the DWTU; </w:t>
      </w:r>
    </w:p>
    <w:p w14:paraId="50E6036A"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3. An assessment of the quality of influent introduced into a commercial DWTU, if applicable;</w:t>
      </w:r>
    </w:p>
    <w:p w14:paraId="231DE482"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lastRenderedPageBreak/>
        <w:t>4. Monthly Effluent Compliance Sampling Plan; and</w:t>
      </w:r>
    </w:p>
    <w:p w14:paraId="4CD41163"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5. Proof of legal access and customer agreement.</w:t>
      </w:r>
    </w:p>
    <w:p w14:paraId="7EABEBB6" w14:textId="06C55D5E" w:rsidR="00A63D4D" w:rsidRPr="00A63D4D" w:rsidRDefault="00A63D4D" w:rsidP="00A63D4D">
      <w:pPr>
        <w:tabs>
          <w:tab w:val="left" w:pos="360"/>
          <w:tab w:val="left" w:pos="360"/>
          <w:tab w:val="left" w:pos="360"/>
          <w:tab w:val="left" w:pos="360"/>
        </w:tabs>
        <w:spacing w:after="0" w:line="259" w:lineRule="auto"/>
        <w:ind w:firstLine="360"/>
        <w:jc w:val="both"/>
        <w:rPr>
          <w:rFonts w:ascii="Times New Roman" w:eastAsia="Times New Roman" w:hAnsi="Times New Roman" w:cs="Times New Roman"/>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(b) </w:t>
      </w:r>
      <w:r w:rsidRPr="00A63D4D">
        <w:rPr>
          <w:rFonts w:ascii="Times New Roman" w:eastAsia="Times New Roman" w:hAnsi="Times New Roman" w:cs="Times New Roman"/>
          <w:color w:val="000000"/>
          <w:sz w:val="20"/>
          <w:szCs w:val="20"/>
          <w:u w:val="single"/>
          <w14:ligatures w14:val="none"/>
        </w:rPr>
        <w:t xml:space="preserve">The permittee for a DWTS, either granted under </w:t>
      </w:r>
      <w:r w:rsidRPr="00A63D4D">
        <w:rPr>
          <w:rFonts w:ascii="Times New Roman" w:eastAsia="Times New Roman" w:hAnsi="Times New Roman" w:cs="Times New Roman"/>
          <w:noProof/>
          <w:color w:val="000000"/>
          <w:kern w:val="0"/>
          <w:sz w:val="20"/>
          <w:szCs w:val="20"/>
          <w:u w:val="single"/>
          <w14:ligatures w14:val="none"/>
        </w:rPr>
        <w:t xml:space="preserve">subsection 403.814(13)(b), F.S., or under a permit issued pursuant to Chapter 62-620, F.A.C. and this chapter, </w:t>
      </w:r>
      <w:r w:rsidRPr="00A63D4D">
        <w:rPr>
          <w:rFonts w:ascii="Times New Roman" w:eastAsia="Times New Roman" w:hAnsi="Times New Roman" w:cs="Times New Roman"/>
          <w:color w:val="000000"/>
          <w:sz w:val="20"/>
          <w:szCs w:val="20"/>
          <w:u w:val="single"/>
          <w14:ligatures w14:val="none"/>
        </w:rPr>
        <w:t xml:space="preserve">shall provide a certification of completion of construction, within 30 days following installation of a DWTU, on DEP Form 62-600.707(2)(b), Notification of Completion of Construction for Distributed Wastewater Treatment Unit (DWTU). effective [proposed effective date], </w:t>
      </w:r>
      <w:hyperlink r:id="rId11" w:history="1">
        <w:r w:rsidRPr="00A63D4D">
          <w:rPr>
            <w:rFonts w:ascii="Times New Roman" w:eastAsia="Times New Roman" w:hAnsi="Times New Roman" w:cs="Times New Roman"/>
            <w:noProof/>
            <w:color w:val="467886"/>
            <w:sz w:val="20"/>
            <w:szCs w:val="20"/>
            <w:u w:val="single"/>
            <w14:ligatures w14:val="none"/>
          </w:rPr>
          <w:t>http://www.flrules.org/Gateway/reference.asp?No=Ref-XXXX</w:t>
        </w:r>
      </w:hyperlink>
      <w:r w:rsidRPr="00A63D4D">
        <w:rPr>
          <w:rFonts w:ascii="Times New Roman" w:eastAsia="Times New Roman" w:hAnsi="Times New Roman" w:cs="Times New Roman"/>
          <w:noProof/>
          <w:color w:val="000000"/>
          <w:sz w:val="20"/>
          <w:szCs w:val="20"/>
          <w:u w:val="single"/>
          <w14:ligatures w14:val="none"/>
        </w:rPr>
        <w:t>, hereby adopted and incorporated by reference.</w:t>
      </w:r>
      <w:r w:rsidRPr="00A63D4D">
        <w:rPr>
          <w:rFonts w:ascii="Times New Roman" w:eastAsia="Times New Roman" w:hAnsi="Times New Roman" w:cs="Times New Roman"/>
          <w:color w:val="000000"/>
          <w:sz w:val="20"/>
          <w:szCs w:val="20"/>
          <w:u w:val="single"/>
          <w14:ligatures w14:val="none"/>
        </w:rPr>
        <w:t xml:space="preserve"> The certification of completion of construction shall include the following:</w:t>
      </w:r>
    </w:p>
    <w:p w14:paraId="247EA2C6" w14:textId="77777777" w:rsidR="00A63D4D" w:rsidRPr="00A63D4D" w:rsidRDefault="00A63D4D" w:rsidP="00A63D4D">
      <w:pPr>
        <w:tabs>
          <w:tab w:val="left" w:pos="360"/>
          <w:tab w:val="left" w:pos="360"/>
          <w:tab w:val="left" w:pos="360"/>
          <w:tab w:val="left" w:pos="360"/>
        </w:tabs>
        <w:spacing w:after="0" w:line="259" w:lineRule="auto"/>
        <w:ind w:firstLine="360"/>
        <w:jc w:val="both"/>
        <w:rPr>
          <w:rFonts w:ascii="Times New Roman" w:eastAsia="Times New Roman" w:hAnsi="Times New Roman" w:cs="Times New Roman"/>
          <w:noProof/>
          <w:color w:val="000000" w:themeColor="text1"/>
          <w:kern w:val="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1. A dimensioned as-built sketch of the DWTU and subsurface absorption field with measurements from fixed structures, lot lines, and items subject to horizontal separation requirements; and</w:t>
      </w:r>
    </w:p>
    <w:p w14:paraId="293750EF" w14:textId="77777777" w:rsidR="00A63D4D" w:rsidRPr="00A63D4D" w:rsidRDefault="00A63D4D" w:rsidP="00A63D4D">
      <w:pPr>
        <w:tabs>
          <w:tab w:val="left" w:pos="360"/>
          <w:tab w:val="left" w:pos="360"/>
          <w:tab w:val="left" w:pos="360"/>
          <w:tab w:val="left" w:pos="360"/>
        </w:tabs>
        <w:spacing w:after="0" w:line="259" w:lineRule="auto"/>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2. Soil and groundwater analysis sufficient to confirm the slow-rate subsurface application system design shall be consistent with the applicable requirements under Rule 62-6.008, F.A.C.</w:t>
      </w:r>
    </w:p>
    <w:p w14:paraId="4A28B3D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themeColor="text1"/>
          <w:kern w:val="0"/>
          <w:sz w:val="20"/>
          <w:szCs w:val="20"/>
          <w:u w:val="single"/>
          <w14:ligatures w14:val="none"/>
        </w:rPr>
      </w:pPr>
      <w:r w:rsidRPr="00A63D4D">
        <w:rPr>
          <w:rFonts w:ascii="Times New Roman" w:eastAsia="Times New Roman" w:hAnsi="Times New Roman" w:cs="Times New Roman"/>
          <w:noProof/>
          <w:color w:val="000000" w:themeColor="text1"/>
          <w:kern w:val="0"/>
          <w:sz w:val="20"/>
          <w:szCs w:val="20"/>
          <w:u w:val="single"/>
          <w14:ligatures w14:val="none"/>
        </w:rPr>
        <w:t xml:space="preserve">(c) The Department shall transfer a general permit granted under subsection 403.814(13), F.S., following notification of such transfer where a “Notification of Transfer of a DWTS or DWTU,” DEP Form 62-600.707(2)(c), effective [PROPOSED EFFECTIVE DATE], http://www.flrules.org/Gateway/reference.asp?No=Ref-XXXX, hereby adopted and incorporated by reference., is submitted to the appropriate district office within 30 days of legal transfer of ownership of a DWTS or DWTU. Until the permit is transferred pursuant to this paragraph, the existing permittee shall remain liable for compliance with the terms of the applicabe DWTS permit. </w:t>
      </w:r>
    </w:p>
    <w:p w14:paraId="16884933" w14:textId="77777777" w:rsidR="00A63D4D" w:rsidRPr="00A63D4D" w:rsidRDefault="00A63D4D" w:rsidP="00A63D4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i/>
          <w:noProof/>
          <w:color w:val="000000"/>
          <w:kern w:val="0"/>
          <w:sz w:val="18"/>
          <w:szCs w:val="18"/>
          <w:u w:val="single"/>
          <w14:ligatures w14:val="none"/>
        </w:rPr>
      </w:pPr>
      <w:r w:rsidRPr="00A63D4D">
        <w:rPr>
          <w:rFonts w:ascii="Times New Roman" w:eastAsia="Times New Roman" w:hAnsi="Times New Roman" w:cs="Times New Roman"/>
          <w:noProof/>
          <w:color w:val="000000" w:themeColor="text1"/>
          <w:kern w:val="0"/>
          <w:sz w:val="20"/>
          <w:szCs w:val="20"/>
          <w:u w:val="single"/>
          <w14:ligatures w14:val="none"/>
        </w:rPr>
        <w:t xml:space="preserve">(d) To terminate coverage of a DWTU under a general permit or a permit issued under Chpater 62-620, F.A.C., the permittee shall submit “Notice of Termination of Distributed Wastewater Treatment Unit (DWTU),” DEP Form 62-600.707(2)(d), effective [PROPOSED EFFECTIVE DATE], http://www.flrules.org/Gateway/reference.asp?No=Ref-XXXX, hereby adopted and incorporated by reference, to the appropriate district office within 30 days after abandonment and terminating operation of the DWTU. </w:t>
      </w:r>
    </w:p>
    <w:p w14:paraId="056CFA4E" w14:textId="77777777" w:rsidR="00A63D4D" w:rsidRPr="00A63D4D" w:rsidRDefault="00A63D4D" w:rsidP="00A63D4D">
      <w:pPr>
        <w:tabs>
          <w:tab w:val="left" w:pos="360"/>
          <w:tab w:val="left" w:pos="360"/>
          <w:tab w:val="left" w:pos="360"/>
          <w:tab w:val="left" w:pos="360"/>
        </w:tabs>
        <w:spacing w:after="0" w:line="259" w:lineRule="auto"/>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(e) All certifications and accompanying documentation shall be submitted online through the DEP Business Portal at http://www.fldepportal.com/go/.</w:t>
      </w:r>
    </w:p>
    <w:p w14:paraId="40CB2E7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color w:val="000000"/>
          <w:kern w:val="0"/>
          <w:sz w:val="20"/>
          <w:u w:val="single"/>
          <w14:ligatures w14:val="none"/>
        </w:rPr>
        <w:t>(3) Requirements for</w:t>
      </w:r>
      <w:r w:rsidRPr="00A63D4D">
        <w:rPr>
          <w:rFonts w:ascii="Times New Roman" w:eastAsia="Times New Roman" w:hAnsi="Times New Roman" w:cs="Times New Roman"/>
          <w:noProof/>
          <w:color w:val="000000"/>
          <w:kern w:val="0"/>
          <w:sz w:val="20"/>
          <w:szCs w:val="20"/>
          <w:u w:val="single"/>
          <w14:ligatures w14:val="none"/>
        </w:rPr>
        <w:t xml:space="preserve"> an Effluent Compliance Sampling Plan.</w:t>
      </w:r>
    </w:p>
    <w:p w14:paraId="4DC28AE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(a) Effluent Compliance Sampling Plan: All operating DWTS shall comply with an applicable Effluent Compliance Sampling Plan that meets the requirements of this subsection. For a DWTS authorized pursuant to the general permit granted under section 403.814(13), F.S., an Effluent Compliance Sampling Plan meeting the requirements of this subsection shall be submitted to the Department prior to operation of the first DWTU within the corresponding DWTS. For a DWTS authorized under a permit issued pursuant to Chapter 62-620, F.A.C., and this chapter, a proposed Effluent Compliance Sampling Plan shall be submitted along with the permit application for the proposed DWTS. An Effluent Compliance Sampling Plan under this subsection shall, at a minimum, meet the following requirements:</w:t>
      </w:r>
    </w:p>
    <w:p w14:paraId="3B57D3E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 Effluent data shall be submitted to the Department on a monthly basis and in accordance with Chapter 62-620, F.A.C.</w:t>
      </w:r>
    </w:p>
    <w:p w14:paraId="336914CB" w14:textId="58AAE668"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w:t>
      </w:r>
      <w:r w:rsidR="004657DA">
        <w:rPr>
          <w:rFonts w:ascii="Times New Roman" w:eastAsia="Times New Roman" w:hAnsi="Times New Roman" w:cs="Times New Roman"/>
          <w:noProof/>
          <w:color w:val="000000"/>
          <w:kern w:val="0"/>
          <w:sz w:val="20"/>
          <w:szCs w:val="20"/>
          <w:u w:val="single"/>
          <w14:ligatures w14:val="none"/>
        </w:rPr>
        <w:t xml:space="preserve"> </w:t>
      </w:r>
      <w:r w:rsidRPr="00A63D4D">
        <w:rPr>
          <w:rFonts w:ascii="Times New Roman" w:eastAsia="Times New Roman" w:hAnsi="Times New Roman" w:cs="Times New Roman"/>
          <w:noProof/>
          <w:color w:val="000000"/>
          <w:kern w:val="0"/>
          <w:sz w:val="20"/>
          <w:szCs w:val="20"/>
          <w:u w:val="single"/>
          <w14:ligatures w14:val="none"/>
        </w:rPr>
        <w:t>DWTSs shall monitor the flow, CBOD5, TSS, pH, and total nitrogen of the effluent in accordance with the treatment requirements as defined in paragraph 62-600.707(1)(d) through (f), F.A.C.</w:t>
      </w:r>
    </w:p>
    <w:p w14:paraId="614F7B59"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2. Sampling and monitoring data shall be collected and analyzed in accordance with Rule 62-4.246, Chapters 62-160 and 62-620, F.A.C., and 40 C.F.R. 136, as appropriate.</w:t>
      </w:r>
    </w:p>
    <w:p w14:paraId="413BE9B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3. If the permittee monitors any contaminant more frequently than required by the permit, using Department approved test procedures, the results of this monitoring shall be included in the calculation and reporting of the data submitted in the DMR.</w:t>
      </w:r>
    </w:p>
    <w:p w14:paraId="3282BA6C"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4. Calculations for all monitoring results which require averaging of measurements shall use an arithmetic mean.</w:t>
      </w:r>
    </w:p>
    <w:p w14:paraId="5C369501"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5. Except as specifically provided in Rule 62-160.300, F.A.C., any laboratory test required shall be performed by a laboratory that has been certified by the Department of Health Environmental Laboratory Certification Program (DOH ELCP). Such certification shall be for the matrix, test method and analyte(s) being measured to comply with the requirements set forth in rule 62-600.707, F.A.C. For DWTUs, testing for parameters listed in subsection 62-160.300(4), F.A.C., shall be conducted under the direction of a certified operator.</w:t>
      </w:r>
    </w:p>
    <w:p w14:paraId="34FF240D"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6. Field activities including onsite tests and sample collection shall follow the applicable standard operating procedures described in DEP-SOP-001/01 adopted by reference in Chapter 62-160, F.A.C.</w:t>
      </w:r>
    </w:p>
    <w:p w14:paraId="3B16D4A6"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7. Alternate field procedures and laboratory methods may be used where they have been approved in accordance with Rules 62-160.220 and 62-160.330, F.A.C.</w:t>
      </w:r>
    </w:p>
    <w:p w14:paraId="75E8BA8B"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sz w:val="20"/>
          <w:szCs w:val="20"/>
          <w:u w:val="single"/>
          <w14:ligatures w14:val="none"/>
        </w:rPr>
        <w:t xml:space="preserve">8. </w:t>
      </w:r>
      <w:r w:rsidRPr="00A63D4D">
        <w:rPr>
          <w:rFonts w:ascii="Times New Roman" w:eastAsia="Times New Roman" w:hAnsi="Times New Roman" w:cs="Times New Roman"/>
          <w:noProof/>
          <w:color w:val="000000"/>
          <w:kern w:val="0"/>
          <w:sz w:val="20"/>
          <w:szCs w:val="20"/>
          <w:u w:val="single"/>
          <w14:ligatures w14:val="none"/>
        </w:rPr>
        <w:t xml:space="preserve">A minimum of five percent of the DWTUs within a DWTS must be sampled for compliance monthly. DWTU selection for compliance sampling shall be randomized and representative of the system. </w:t>
      </w:r>
      <w:r w:rsidRPr="00A63D4D">
        <w:rPr>
          <w:rFonts w:ascii="Times New Roman" w:eastAsia="Times New Roman" w:hAnsi="Times New Roman" w:cs="Times New Roman"/>
          <w:noProof/>
          <w:color w:val="000000" w:themeColor="text1"/>
          <w:kern w:val="0"/>
          <w:sz w:val="20"/>
          <w:szCs w:val="20"/>
          <w:u w:val="single"/>
          <w14:ligatures w14:val="none"/>
        </w:rPr>
        <w:t>Each DWTU shall be sampled for compliance at least once every two years, which may include the results of monthly compliance sampling as required herein.</w:t>
      </w:r>
      <w:r w:rsidRPr="00A63D4D">
        <w:rPr>
          <w:rFonts w:ascii="Times New Roman" w:eastAsia="Times New Roman" w:hAnsi="Times New Roman" w:cs="Times New Roman"/>
          <w:kern w:val="0"/>
          <w14:ligatures w14:val="none"/>
        </w:rPr>
        <w:t xml:space="preserve"> </w:t>
      </w:r>
      <w:r w:rsidRPr="00A63D4D">
        <w:rPr>
          <w:rFonts w:ascii="Times New Roman" w:eastAsia="Times New Roman" w:hAnsi="Times New Roman" w:cs="Times New Roman"/>
          <w:noProof/>
          <w:color w:val="000000" w:themeColor="text1"/>
          <w:kern w:val="0"/>
          <w:sz w:val="20"/>
          <w:szCs w:val="20"/>
          <w:u w:val="single"/>
          <w14:ligatures w14:val="none"/>
        </w:rPr>
        <w:t xml:space="preserve">For DWTS that are comprised </w:t>
      </w:r>
      <w:r w:rsidRPr="00A63D4D">
        <w:rPr>
          <w:rFonts w:ascii="Times New Roman" w:eastAsia="Times New Roman" w:hAnsi="Times New Roman" w:cs="Times New Roman"/>
          <w:noProof/>
          <w:color w:val="000000" w:themeColor="text1"/>
          <w:kern w:val="0"/>
          <w:sz w:val="20"/>
          <w:szCs w:val="20"/>
          <w:u w:val="single"/>
          <w14:ligatures w14:val="none"/>
        </w:rPr>
        <w:lastRenderedPageBreak/>
        <w:t>of more than 400 DWTUs, the applicant may propose an alternative sampling plan, and the Department may approve an alternative sampling plan that provides an equivalent statistically representative sample size for the operational DWTUs.</w:t>
      </w:r>
    </w:p>
    <w:p w14:paraId="7C496951" w14:textId="2F56057D"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9. All newly installed DWTUs shall be sampled within six months of being placed into operation and after </w:t>
      </w:r>
      <w:r w:rsidRPr="00A63D4D">
        <w:rPr>
          <w:rFonts w:ascii="Times New Roman" w:eastAsia="Times New Roman" w:hAnsi="Times New Roman" w:cs="Times New Roman"/>
          <w:color w:val="000000"/>
          <w:sz w:val="20"/>
          <w:szCs w:val="20"/>
          <w:u w:val="single"/>
          <w14:ligatures w14:val="none"/>
        </w:rPr>
        <w:t xml:space="preserve">the DWTU has </w:t>
      </w:r>
      <w:r w:rsidRPr="00A63D4D">
        <w:rPr>
          <w:rFonts w:ascii="Times New Roman" w:eastAsia="Times New Roman" w:hAnsi="Times New Roman" w:cs="Times New Roman"/>
          <w:noProof/>
          <w:color w:val="000000"/>
          <w:kern w:val="0"/>
          <w:sz w:val="20"/>
          <w:szCs w:val="20"/>
          <w:u w:val="single"/>
          <w14:ligatures w14:val="none"/>
        </w:rPr>
        <w:t>had a minimum of 60 days of operation.</w:t>
      </w:r>
    </w:p>
    <w:p w14:paraId="275A4E53"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10. Compliance sampling is not required on DWTUs receiving less than their design minimum flow over the last 30 days.</w:t>
      </w:r>
    </w:p>
    <w:p w14:paraId="4E7B906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11. For any individual DWTU that exceeds the </w:t>
      </w:r>
      <w:r w:rsidRPr="00A63D4D">
        <w:rPr>
          <w:rFonts w:ascii="Times New Roman" w:eastAsia="Times New Roman" w:hAnsi="Times New Roman" w:cs="Times New Roman"/>
          <w:kern w:val="0"/>
          <w:sz w:val="20"/>
          <w:szCs w:val="20"/>
          <w:u w:val="single"/>
          <w14:ligatures w14:val="none"/>
        </w:rPr>
        <w:t xml:space="preserve">maximum-permissible concentration in any single sample </w:t>
      </w:r>
      <w:r w:rsidRPr="00A63D4D">
        <w:rPr>
          <w:rFonts w:ascii="Times New Roman" w:eastAsia="Times New Roman" w:hAnsi="Times New Roman" w:cs="Times New Roman"/>
          <w:noProof/>
          <w:color w:val="000000"/>
          <w:kern w:val="0"/>
          <w:sz w:val="20"/>
          <w:szCs w:val="20"/>
          <w:u w:val="single"/>
          <w14:ligatures w14:val="none"/>
        </w:rPr>
        <w:t>as defined in subsection 62-600.420(3), F.A.C., the DWTU shall be resampled monthly</w:t>
      </w:r>
      <w:r w:rsidRPr="00A63D4D">
        <w:rPr>
          <w:rFonts w:ascii="Times New Roman" w:eastAsia="Times New Roman" w:hAnsi="Times New Roman" w:cs="Times New Roman"/>
          <w:noProof/>
          <w:color w:val="000000"/>
          <w:sz w:val="20"/>
          <w:szCs w:val="20"/>
          <w:u w:val="single"/>
          <w14:ligatures w14:val="none"/>
        </w:rPr>
        <w:t xml:space="preserve"> for the exceeding parameter</w:t>
      </w:r>
      <w:r w:rsidRPr="00A63D4D">
        <w:rPr>
          <w:rFonts w:ascii="Times New Roman" w:eastAsia="Times New Roman" w:hAnsi="Times New Roman" w:cs="Times New Roman"/>
          <w:noProof/>
          <w:color w:val="000000"/>
          <w:kern w:val="0"/>
          <w:sz w:val="20"/>
          <w:szCs w:val="20"/>
          <w:u w:val="single"/>
          <w14:ligatures w14:val="none"/>
        </w:rPr>
        <w:t xml:space="preserve"> until compliance limits are met, after which the minimum sampling frequency of the DWTU may resume. </w:t>
      </w:r>
    </w:p>
    <w:p w14:paraId="755FBFD8"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 xml:space="preserve">12. When a DWTU exceeds the </w:t>
      </w:r>
      <w:r w:rsidRPr="00A63D4D">
        <w:rPr>
          <w:rFonts w:ascii="Times New Roman" w:eastAsia="Times New Roman" w:hAnsi="Times New Roman" w:cs="Times New Roman"/>
          <w:kern w:val="0"/>
          <w:sz w:val="20"/>
          <w:szCs w:val="20"/>
          <w:u w:val="single"/>
          <w14:ligatures w14:val="none"/>
        </w:rPr>
        <w:t xml:space="preserve">maximum-permissible concentration in any single sample </w:t>
      </w:r>
      <w:r w:rsidRPr="00A63D4D">
        <w:rPr>
          <w:rFonts w:ascii="Times New Roman" w:eastAsia="Times New Roman" w:hAnsi="Times New Roman" w:cs="Times New Roman"/>
          <w:noProof/>
          <w:color w:val="000000"/>
          <w:kern w:val="0"/>
          <w:sz w:val="20"/>
          <w:szCs w:val="20"/>
          <w:u w:val="single"/>
          <w14:ligatures w14:val="none"/>
        </w:rPr>
        <w:t>as defined in subsection 62-600.420(3), F.A.C. for three consecutive monthly sampling periods, a remediation plan shall be included with the monthly DMRs, and shall be implemented by the DWTS permittee.</w:t>
      </w:r>
    </w:p>
    <w:p w14:paraId="754FA80B" w14:textId="2E19F719" w:rsidR="00A63D4D" w:rsidRPr="00A63D4D" w:rsidRDefault="00A63D4D" w:rsidP="00A63D4D">
      <w:pPr>
        <w:widowControl w:val="0"/>
        <w:tabs>
          <w:tab w:val="left" w:pos="360"/>
          <w:tab w:val="left" w:pos="360"/>
          <w:tab w:val="left" w:pos="360"/>
          <w:tab w:val="left" w:pos="360"/>
        </w:tabs>
        <w:spacing w:after="0" w:line="260" w:lineRule="atLeast"/>
        <w:ind w:firstLine="360"/>
        <w:jc w:val="both"/>
        <w:rPr>
          <w:rFonts w:ascii="Times New Roman" w:eastAsia="Times New Roman" w:hAnsi="Times New Roman" w:cs="Times New Roman"/>
          <w:noProof/>
          <w:color w:val="000000"/>
          <w:sz w:val="20"/>
          <w:szCs w:val="20"/>
          <w:u w:val="single"/>
          <w14:ligatures w14:val="none"/>
        </w:rPr>
      </w:pPr>
      <w:r w:rsidRPr="00A63D4D">
        <w:rPr>
          <w:rFonts w:ascii="Times New Roman" w:eastAsia="Times New Roman" w:hAnsi="Times New Roman" w:cs="Times New Roman"/>
          <w:noProof/>
          <w:color w:val="000000"/>
          <w:kern w:val="0"/>
          <w:sz w:val="20"/>
          <w:szCs w:val="20"/>
          <w:u w:val="single"/>
          <w14:ligatures w14:val="none"/>
        </w:rPr>
        <w:t>(b) Reporting Requirements:</w:t>
      </w:r>
      <w:r w:rsidRPr="00A63D4D" w:rsidDel="0080637E">
        <w:rPr>
          <w:rFonts w:ascii="Times New Roman" w:eastAsia="Times New Roman" w:hAnsi="Times New Roman" w:cs="Times New Roman"/>
          <w:noProof/>
          <w:color w:val="000000"/>
          <w:kern w:val="0"/>
          <w:sz w:val="20"/>
          <w:szCs w:val="20"/>
          <w:u w:val="single"/>
          <w14:ligatures w14:val="none"/>
        </w:rPr>
        <w:t xml:space="preserve"> </w:t>
      </w:r>
      <w:r w:rsidRPr="00A63D4D">
        <w:rPr>
          <w:rFonts w:ascii="Times New Roman" w:eastAsia="Times New Roman" w:hAnsi="Times New Roman" w:cs="Times New Roman"/>
          <w:color w:val="000000"/>
          <w:sz w:val="20"/>
          <w:szCs w:val="20"/>
          <w:u w:val="single"/>
          <w14:ligatures w14:val="none"/>
        </w:rPr>
        <w:t>In accordance with Rule 62-600.680, F.A.C., t</w:t>
      </w:r>
      <w:r w:rsidRPr="00A63D4D">
        <w:rPr>
          <w:rFonts w:ascii="Times New Roman" w:eastAsia="Times New Roman" w:hAnsi="Times New Roman" w:cs="Times New Roman"/>
          <w:noProof/>
          <w:color w:val="000000"/>
          <w:kern w:val="0"/>
          <w:sz w:val="20"/>
          <w:szCs w:val="20"/>
          <w:u w:val="single"/>
          <w14:ligatures w14:val="none"/>
        </w:rPr>
        <w:t>he permittee must r</w:t>
      </w:r>
      <w:r w:rsidRPr="00A63D4D">
        <w:rPr>
          <w:rFonts w:ascii="Times New Roman" w:eastAsia="Times New Roman" w:hAnsi="Times New Roman" w:cs="Times New Roman"/>
          <w:noProof/>
          <w:color w:val="000000"/>
          <w:sz w:val="20"/>
          <w:szCs w:val="20"/>
          <w:u w:val="single"/>
          <w14:ligatures w14:val="none"/>
        </w:rPr>
        <w:t>eport monthly aggregate monitoring results on a Discharge Monitoring Report (DMR) for the DWTS, DEP Form 62-600.707(2)(d), for all parameters as identified for the Effluent Compliance Sampling Plan under subsection 62-600.707(3), F.A.C. Sampling results from individual DWTUs shall be maintained for inspection, if requested by the Department, in accordance with the record keeping requirements specified under Rule 62-620.350, F.A.C.</w:t>
      </w:r>
      <w:r w:rsidRPr="00A63D4D">
        <w:rPr>
          <w:rFonts w:ascii="Times New Roman" w:eastAsia="Times New Roman" w:hAnsi="Times New Roman" w:cs="Times New Roman"/>
          <w:color w:val="000000"/>
          <w:sz w:val="20"/>
          <w:szCs w:val="20"/>
          <w:u w:val="single"/>
          <w14:ligatures w14:val="none"/>
        </w:rPr>
        <w:t xml:space="preserve"> The permittee shall use the DMR provided to the permittee by the Department in accordance with a permit issued pursuant to Chapter 62-620, F.A.C., and this chapter, or </w:t>
      </w:r>
      <w:r w:rsidRPr="00A63D4D">
        <w:rPr>
          <w:rFonts w:ascii="Times New Roman" w:eastAsia="Times New Roman" w:hAnsi="Times New Roman" w:cs="Times New Roman"/>
          <w:noProof/>
          <w:color w:val="000000"/>
          <w:sz w:val="20"/>
          <w:szCs w:val="20"/>
          <w:u w:val="single"/>
          <w14:ligatures w14:val="none"/>
        </w:rPr>
        <w:t>following the notification submitted in accordance with 403.814(13)(b), F.S.</w:t>
      </w:r>
    </w:p>
    <w:p w14:paraId="0BEEA177"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iCs/>
          <w:noProof/>
          <w:color w:val="000000"/>
          <w:kern w:val="0"/>
          <w:sz w:val="18"/>
          <w:szCs w:val="18"/>
          <w:u w:val="single"/>
          <w14:ligatures w14:val="none"/>
        </w:rPr>
      </w:pPr>
      <w:r w:rsidRPr="00A63D4D">
        <w:rPr>
          <w:rFonts w:ascii="Times New Roman" w:eastAsia="Times New Roman" w:hAnsi="Times New Roman" w:cs="Times New Roman"/>
          <w:noProof/>
          <w:color w:val="000000" w:themeColor="text1"/>
          <w:kern w:val="0"/>
          <w:sz w:val="20"/>
          <w:szCs w:val="20"/>
          <w:u w:val="single"/>
          <w14:ligatures w14:val="none"/>
        </w:rPr>
        <w:t>(c) In accordance with subsection 62-600.650(3), F.A.C., after five years of sampling results showing the DWTU is in compliance with all required performance standards, a permittee may submit a written request to the Department for a reduction in monitoring requirements. The request shall include a summary of the data for all tests being considered. Reductions in monitoring shall only become effective upon the Department’s written confirmation.</w:t>
      </w:r>
      <w:r w:rsidRPr="00A63D4D">
        <w:rPr>
          <w:rFonts w:ascii="Times New Roman" w:eastAsia="Times New Roman" w:hAnsi="Times New Roman" w:cs="Times New Roman"/>
          <w:i/>
          <w:noProof/>
          <w:color w:val="000000"/>
          <w:kern w:val="0"/>
          <w:sz w:val="18"/>
          <w:szCs w:val="18"/>
          <w:u w:val="single"/>
          <w14:ligatures w14:val="none"/>
        </w:rPr>
        <w:t xml:space="preserve"> </w:t>
      </w:r>
    </w:p>
    <w:p w14:paraId="5CB50242"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i/>
          <w:noProof/>
          <w:color w:val="000000"/>
          <w:kern w:val="0"/>
          <w:sz w:val="18"/>
          <w:szCs w:val="18"/>
          <w:u w:val="single"/>
          <w14:ligatures w14:val="none"/>
        </w:rPr>
      </w:pPr>
    </w:p>
    <w:p w14:paraId="27248860" w14:textId="77777777" w:rsidR="00A63D4D" w:rsidRPr="00A63D4D" w:rsidRDefault="00A63D4D" w:rsidP="00A63D4D">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themeColor="text1"/>
          <w:kern w:val="0"/>
          <w:sz w:val="20"/>
          <w:szCs w:val="20"/>
          <w:u w:val="single"/>
          <w14:ligatures w14:val="none"/>
        </w:rPr>
      </w:pPr>
      <w:r w:rsidRPr="00A63D4D">
        <w:rPr>
          <w:rFonts w:ascii="Times New Roman" w:eastAsia="Times New Roman" w:hAnsi="Times New Roman" w:cs="Times New Roman"/>
          <w:i/>
          <w:noProof/>
          <w:color w:val="000000"/>
          <w:kern w:val="0"/>
          <w:sz w:val="18"/>
          <w:szCs w:val="18"/>
          <w:u w:val="single"/>
          <w14:ligatures w14:val="none"/>
        </w:rPr>
        <w:t>Rulemaking Authority 403.061, 403.087, 403.088, 403.814, 403.88(4) FS. Law Implemented 403.061, 403.087, 403.0877, 403.088, 403.814 FS. History–New</w:t>
      </w:r>
      <w:r w:rsidRPr="00A63D4D">
        <w:rPr>
          <w:rFonts w:ascii="Times New Roman" w:eastAsia="Times New Roman" w:hAnsi="Times New Roman" w:cs="Times New Roman"/>
          <w:i/>
          <w:noProof/>
          <w:color w:val="000000"/>
          <w:kern w:val="0"/>
          <w:sz w:val="18"/>
          <w:szCs w:val="20"/>
          <w:u w:val="single"/>
          <w14:ligatures w14:val="none"/>
        </w:rPr>
        <w:t xml:space="preserve"> xx-xx-xx.</w:t>
      </w:r>
    </w:p>
    <w:p w14:paraId="75FBDBE5" w14:textId="77777777" w:rsidR="00EA3BD8" w:rsidRDefault="00EA3BD8"/>
    <w:sectPr w:rsidR="00EA3BD8" w:rsidSect="00A63D4D">
      <w:headerReference w:type="even" r:id="rId12"/>
      <w:headerReference w:type="default" r:id="rId13"/>
      <w:footerReference w:type="even" r:id="rId14"/>
      <w:footerReference w:type="default" r:id="rId15"/>
      <w:headerReference w:type="first" r:id="rId16"/>
      <w:footerReference w:type="first" r:id="rId17"/>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FCE4" w14:textId="77777777" w:rsidR="00C92B55" w:rsidRDefault="00C92B55">
      <w:pPr>
        <w:spacing w:after="0" w:line="240" w:lineRule="auto"/>
      </w:pPr>
      <w:r>
        <w:separator/>
      </w:r>
    </w:p>
  </w:endnote>
  <w:endnote w:type="continuationSeparator" w:id="0">
    <w:p w14:paraId="392D14FF" w14:textId="77777777" w:rsidR="00C92B55" w:rsidRDefault="00C9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0828" w14:textId="77777777" w:rsidR="003C640D" w:rsidRDefault="003C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E914" w14:textId="77777777" w:rsidR="003C640D" w:rsidRDefault="003C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0B5A" w14:textId="77777777" w:rsidR="003C640D" w:rsidRDefault="003C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E612" w14:textId="77777777" w:rsidR="00C92B55" w:rsidRDefault="00C92B55">
      <w:pPr>
        <w:spacing w:after="0" w:line="240" w:lineRule="auto"/>
      </w:pPr>
      <w:r>
        <w:separator/>
      </w:r>
    </w:p>
  </w:footnote>
  <w:footnote w:type="continuationSeparator" w:id="0">
    <w:p w14:paraId="670F1249" w14:textId="77777777" w:rsidR="00C92B55" w:rsidRDefault="00C92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56CF" w14:textId="4F4BBE40" w:rsidR="00A63D4D" w:rsidRDefault="00A6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36073"/>
      <w:docPartObj>
        <w:docPartGallery w:val="Watermarks"/>
        <w:docPartUnique/>
      </w:docPartObj>
    </w:sdtPr>
    <w:sdtEndPr/>
    <w:sdtContent>
      <w:p w14:paraId="7295CE16" w14:textId="6232629B" w:rsidR="003C640D" w:rsidRDefault="00C92B55">
        <w:pPr>
          <w:pStyle w:val="Header"/>
        </w:pPr>
        <w:r>
          <w:rPr>
            <w:noProof/>
          </w:rPr>
          <w:pict w14:anchorId="27CE7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1FD1" w14:textId="63DA7873" w:rsidR="00A63D4D" w:rsidRDefault="00A63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4D"/>
    <w:rsid w:val="0005730A"/>
    <w:rsid w:val="002F332D"/>
    <w:rsid w:val="003C640D"/>
    <w:rsid w:val="004657DA"/>
    <w:rsid w:val="00696A45"/>
    <w:rsid w:val="00A63D4D"/>
    <w:rsid w:val="00C92B55"/>
    <w:rsid w:val="00D225E2"/>
    <w:rsid w:val="00EA3BD8"/>
    <w:rsid w:val="00EA51D1"/>
    <w:rsid w:val="00F4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E3A15"/>
  <w15:chartTrackingRefBased/>
  <w15:docId w15:val="{0F968067-C34A-450F-832D-B8D92EF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D4D"/>
    <w:rPr>
      <w:rFonts w:eastAsiaTheme="majorEastAsia" w:cstheme="majorBidi"/>
      <w:color w:val="272727" w:themeColor="text1" w:themeTint="D8"/>
    </w:rPr>
  </w:style>
  <w:style w:type="paragraph" w:styleId="Title">
    <w:name w:val="Title"/>
    <w:basedOn w:val="Normal"/>
    <w:next w:val="Normal"/>
    <w:link w:val="TitleChar"/>
    <w:uiPriority w:val="10"/>
    <w:qFormat/>
    <w:rsid w:val="00A6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D4D"/>
    <w:pPr>
      <w:spacing w:before="160"/>
      <w:jc w:val="center"/>
    </w:pPr>
    <w:rPr>
      <w:i/>
      <w:iCs/>
      <w:color w:val="404040" w:themeColor="text1" w:themeTint="BF"/>
    </w:rPr>
  </w:style>
  <w:style w:type="character" w:customStyle="1" w:styleId="QuoteChar">
    <w:name w:val="Quote Char"/>
    <w:basedOn w:val="DefaultParagraphFont"/>
    <w:link w:val="Quote"/>
    <w:uiPriority w:val="29"/>
    <w:rsid w:val="00A63D4D"/>
    <w:rPr>
      <w:i/>
      <w:iCs/>
      <w:color w:val="404040" w:themeColor="text1" w:themeTint="BF"/>
    </w:rPr>
  </w:style>
  <w:style w:type="paragraph" w:styleId="ListParagraph">
    <w:name w:val="List Paragraph"/>
    <w:basedOn w:val="Normal"/>
    <w:uiPriority w:val="34"/>
    <w:qFormat/>
    <w:rsid w:val="00A63D4D"/>
    <w:pPr>
      <w:ind w:left="720"/>
      <w:contextualSpacing/>
    </w:pPr>
  </w:style>
  <w:style w:type="character" w:styleId="IntenseEmphasis">
    <w:name w:val="Intense Emphasis"/>
    <w:basedOn w:val="DefaultParagraphFont"/>
    <w:uiPriority w:val="21"/>
    <w:qFormat/>
    <w:rsid w:val="00A63D4D"/>
    <w:rPr>
      <w:i/>
      <w:iCs/>
      <w:color w:val="0F4761" w:themeColor="accent1" w:themeShade="BF"/>
    </w:rPr>
  </w:style>
  <w:style w:type="paragraph" w:styleId="IntenseQuote">
    <w:name w:val="Intense Quote"/>
    <w:basedOn w:val="Normal"/>
    <w:next w:val="Normal"/>
    <w:link w:val="IntenseQuoteChar"/>
    <w:uiPriority w:val="30"/>
    <w:qFormat/>
    <w:rsid w:val="00A6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D4D"/>
    <w:rPr>
      <w:i/>
      <w:iCs/>
      <w:color w:val="0F4761" w:themeColor="accent1" w:themeShade="BF"/>
    </w:rPr>
  </w:style>
  <w:style w:type="character" w:styleId="IntenseReference">
    <w:name w:val="Intense Reference"/>
    <w:basedOn w:val="DefaultParagraphFont"/>
    <w:uiPriority w:val="32"/>
    <w:qFormat/>
    <w:rsid w:val="00A63D4D"/>
    <w:rPr>
      <w:b/>
      <w:bCs/>
      <w:smallCaps/>
      <w:color w:val="0F4761" w:themeColor="accent1" w:themeShade="BF"/>
      <w:spacing w:val="5"/>
    </w:rPr>
  </w:style>
  <w:style w:type="paragraph" w:styleId="Header">
    <w:name w:val="header"/>
    <w:basedOn w:val="Normal"/>
    <w:link w:val="HeaderChar"/>
    <w:rsid w:val="00A63D4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A63D4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C6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rules.org/Gateway/reference.asp?No=Ref-XXX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lrules.org/Gateway/reference.asp?No=Ref-XXXX"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NPVFY6KNS3ZM-347695008-200</_dlc_DocId>
    <_dlc_DocIdUrl xmlns="ed83551b-1c74-4eb0-a689-e3b00317a30f">
      <Url>https://floridadep.sharepoint.com/wrm/routing/_layouts/15/DocIdRedir.aspx?ID=NPVFY6KNS3ZM-347695008-200</Url>
      <Description>NPVFY6KNS3ZM-347695008-200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52B1C9CEA8A43B1F2F7C9025B998F" ma:contentTypeVersion="0" ma:contentTypeDescription="Create a new document." ma:contentTypeScope="" ma:versionID="b166fbd429e2c5c64551d531bc583d93">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061AB-C248-43BA-B61D-761E2B3949CD}">
  <ds:schemaRefs>
    <ds:schemaRef ds:uri="http://schemas.microsoft.com/sharepoint/events"/>
  </ds:schemaRefs>
</ds:datastoreItem>
</file>

<file path=customXml/itemProps2.xml><?xml version="1.0" encoding="utf-8"?>
<ds:datastoreItem xmlns:ds="http://schemas.openxmlformats.org/officeDocument/2006/customXml" ds:itemID="{9E4EE61D-9592-4D5E-BC4A-021DA6924B06}">
  <ds:schemaRefs>
    <ds:schemaRef ds:uri="http://schemas.microsoft.com/sharepoint/v3/contenttype/forms"/>
  </ds:schemaRefs>
</ds:datastoreItem>
</file>

<file path=customXml/itemProps3.xml><?xml version="1.0" encoding="utf-8"?>
<ds:datastoreItem xmlns:ds="http://schemas.openxmlformats.org/officeDocument/2006/customXml" ds:itemID="{ECE89C7A-25F2-4115-A1AB-E5DD6A30DCB0}">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68BC42AE-2AB3-4BCD-ACCD-73B29F73B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3784</Words>
  <Characters>24369</Characters>
  <Application>Microsoft Office Word</Application>
  <DocSecurity>0</DocSecurity>
  <Lines>427</Lines>
  <Paragraphs>284</Paragraphs>
  <ScaleCrop>false</ScaleCrop>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Gottfreid, Lauren</dc:creator>
  <cp:keywords/>
  <dc:description/>
  <cp:lastModifiedBy>Barker, Maurice</cp:lastModifiedBy>
  <cp:revision>2</cp:revision>
  <dcterms:created xsi:type="dcterms:W3CDTF">2026-03-06T20:21:00Z</dcterms:created>
  <dcterms:modified xsi:type="dcterms:W3CDTF">2026-03-06T20:21:00Z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0x01010040852B1C9CEA8A43B1F2F7C9025B998F</vt:lpwstr>
  </property>
  <property fmtid="{D5CDD505-2E9C-101B-9397-08002B2CF9AE}" pid="3" name="_dlc_DocIdItemGuid">
    <vt:lpwstr>5774c765-1491-4f5d-b1d4-a0fa19aa64f0</vt:lpwstr>
  </property>
</Properties>
</file>