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16FB" w14:textId="194D159E" w:rsidR="000035E0" w:rsidRPr="000147EF" w:rsidRDefault="000035E0" w:rsidP="00B2508C">
      <w:pPr>
        <w:spacing w:after="540"/>
        <w:ind w:left="90" w:hanging="8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Public Workshop on Total Maximum Daily Loads (TMDLs)</w:t>
      </w:r>
      <w:r w:rsidR="00890672">
        <w:rPr>
          <w:rFonts w:ascii="Arial" w:eastAsia="Arial" w:hAnsi="Arial" w:cs="Arial"/>
          <w:b/>
          <w:sz w:val="28"/>
        </w:rPr>
        <w:t xml:space="preserve"> </w:t>
      </w:r>
      <w:r w:rsidR="00B2508C"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b/>
          <w:sz w:val="28"/>
        </w:rPr>
        <w:t xml:space="preserve">in the </w:t>
      </w:r>
      <w:r w:rsidR="000F45CE" w:rsidRPr="000147EF">
        <w:rPr>
          <w:rFonts w:ascii="Arial" w:eastAsia="Arial" w:hAnsi="Arial" w:cs="Arial"/>
          <w:b/>
          <w:sz w:val="28"/>
        </w:rPr>
        <w:t>Upper Suwannee River</w:t>
      </w:r>
      <w:r w:rsidR="004945E0" w:rsidRPr="000147EF">
        <w:rPr>
          <w:rFonts w:ascii="Arial" w:eastAsia="Arial" w:hAnsi="Arial" w:cs="Arial"/>
          <w:b/>
          <w:sz w:val="28"/>
        </w:rPr>
        <w:t xml:space="preserve"> Basin</w:t>
      </w:r>
      <w:r w:rsidRPr="000147EF">
        <w:rPr>
          <w:rFonts w:ascii="Arial" w:eastAsia="Arial" w:hAnsi="Arial" w:cs="Arial"/>
          <w:b/>
          <w:sz w:val="28"/>
        </w:rPr>
        <w:t xml:space="preserve"> </w:t>
      </w:r>
    </w:p>
    <w:p w14:paraId="52399265" w14:textId="2DBB79A9" w:rsidR="000035E0" w:rsidRPr="000147EF" w:rsidRDefault="000035E0" w:rsidP="003074DF">
      <w:pPr>
        <w:pStyle w:val="NoSpacing"/>
        <w:rPr>
          <w:rFonts w:eastAsia="Arial"/>
        </w:rPr>
      </w:pPr>
      <w:r w:rsidRPr="000147EF">
        <w:rPr>
          <w:rFonts w:eastAsia="Arial"/>
        </w:rPr>
        <w:t>DATE</w:t>
      </w:r>
      <w:proofErr w:type="gramStart"/>
      <w:r w:rsidRPr="000147EF">
        <w:rPr>
          <w:rFonts w:eastAsia="Arial"/>
        </w:rPr>
        <w:t>:</w:t>
      </w:r>
      <w:r w:rsidR="00274C9A">
        <w:rPr>
          <w:rFonts w:eastAsia="Arial"/>
        </w:rPr>
        <w:tab/>
      </w:r>
      <w:r w:rsidR="00274C9A">
        <w:rPr>
          <w:rFonts w:eastAsia="Arial"/>
        </w:rPr>
        <w:tab/>
        <w:t>Thursday</w:t>
      </w:r>
      <w:proofErr w:type="gramEnd"/>
      <w:r w:rsidR="00CF39E4" w:rsidRPr="000147EF">
        <w:rPr>
          <w:rFonts w:eastAsia="Arial"/>
        </w:rPr>
        <w:t xml:space="preserve">, </w:t>
      </w:r>
      <w:r w:rsidR="00274C9A">
        <w:rPr>
          <w:rFonts w:eastAsia="Arial"/>
        </w:rPr>
        <w:t>June 26</w:t>
      </w:r>
      <w:r w:rsidR="000F45CE" w:rsidRPr="000147EF">
        <w:rPr>
          <w:rFonts w:eastAsia="Arial"/>
        </w:rPr>
        <w:t>,</w:t>
      </w:r>
      <w:r w:rsidR="00274C9A">
        <w:rPr>
          <w:rFonts w:eastAsia="Arial"/>
          <w:vertAlign w:val="superscript"/>
        </w:rPr>
        <w:t xml:space="preserve"> </w:t>
      </w:r>
      <w:r w:rsidR="000F45CE" w:rsidRPr="000147EF">
        <w:rPr>
          <w:rFonts w:eastAsia="Arial"/>
        </w:rPr>
        <w:t>2025</w:t>
      </w:r>
    </w:p>
    <w:p w14:paraId="14F969A9" w14:textId="77777777" w:rsidR="003074DF" w:rsidRPr="000147EF" w:rsidRDefault="003074DF" w:rsidP="003074DF">
      <w:pPr>
        <w:pStyle w:val="NoSpacing"/>
        <w:rPr>
          <w:rFonts w:eastAsia="Arial"/>
        </w:rPr>
      </w:pPr>
    </w:p>
    <w:p w14:paraId="05B2063C" w14:textId="1B94A9A1" w:rsidR="000035E0" w:rsidRPr="000147EF" w:rsidRDefault="000035E0" w:rsidP="003074DF">
      <w:pPr>
        <w:pStyle w:val="NoSpacing"/>
        <w:rPr>
          <w:rFonts w:eastAsia="Arial"/>
        </w:rPr>
      </w:pPr>
      <w:r w:rsidRPr="000147EF">
        <w:rPr>
          <w:rFonts w:eastAsia="Arial"/>
        </w:rPr>
        <w:t>TIME</w:t>
      </w:r>
      <w:proofErr w:type="gramStart"/>
      <w:r w:rsidR="00274C9A">
        <w:rPr>
          <w:rFonts w:eastAsia="Arial"/>
        </w:rPr>
        <w:t>:</w:t>
      </w:r>
      <w:r w:rsidR="00274C9A">
        <w:rPr>
          <w:rFonts w:eastAsia="Arial"/>
        </w:rPr>
        <w:tab/>
      </w:r>
      <w:r w:rsidR="00274C9A">
        <w:rPr>
          <w:rFonts w:eastAsia="Arial"/>
        </w:rPr>
        <w:tab/>
      </w:r>
      <w:r w:rsidR="004945E0" w:rsidRPr="000147EF">
        <w:rPr>
          <w:rFonts w:eastAsia="Arial"/>
        </w:rPr>
        <w:t>1</w:t>
      </w:r>
      <w:proofErr w:type="gramEnd"/>
      <w:r w:rsidR="0043307C" w:rsidRPr="000147EF">
        <w:rPr>
          <w:rFonts w:eastAsia="Arial"/>
        </w:rPr>
        <w:t>:00</w:t>
      </w:r>
      <w:r w:rsidRPr="000147EF">
        <w:rPr>
          <w:rFonts w:eastAsia="Arial"/>
        </w:rPr>
        <w:t xml:space="preserve"> </w:t>
      </w:r>
      <w:r w:rsidR="00274C9A">
        <w:rPr>
          <w:rFonts w:eastAsia="Arial"/>
        </w:rPr>
        <w:t>P</w:t>
      </w:r>
      <w:r w:rsidRPr="000147EF">
        <w:rPr>
          <w:rFonts w:eastAsia="Arial"/>
        </w:rPr>
        <w:t xml:space="preserve">M </w:t>
      </w:r>
      <w:r w:rsidR="00274C9A">
        <w:rPr>
          <w:rFonts w:eastAsia="Arial"/>
        </w:rPr>
        <w:t>(EDT)</w:t>
      </w:r>
      <w:r w:rsidRPr="000147EF">
        <w:rPr>
          <w:rFonts w:eastAsia="Arial"/>
        </w:rPr>
        <w:t xml:space="preserve"> </w:t>
      </w:r>
    </w:p>
    <w:p w14:paraId="0F549D61" w14:textId="77777777" w:rsidR="003074DF" w:rsidRPr="000147EF" w:rsidRDefault="003074DF" w:rsidP="003074DF">
      <w:pPr>
        <w:pStyle w:val="NoSpacing"/>
      </w:pPr>
    </w:p>
    <w:p w14:paraId="0BCC6E19" w14:textId="00CB3A8C" w:rsidR="000035E0" w:rsidRPr="000147EF" w:rsidRDefault="000035E0" w:rsidP="002A0441">
      <w:pPr>
        <w:pStyle w:val="NoSpacing"/>
        <w:rPr>
          <w:rFonts w:eastAsia="Arial"/>
        </w:rPr>
      </w:pPr>
      <w:r w:rsidRPr="000147EF">
        <w:rPr>
          <w:rFonts w:eastAsia="Arial"/>
        </w:rPr>
        <w:t>PLACE:</w:t>
      </w:r>
      <w:r w:rsidR="00274C9A">
        <w:rPr>
          <w:rFonts w:eastAsia="Arial"/>
        </w:rPr>
        <w:tab/>
      </w:r>
      <w:r w:rsidR="002A0441" w:rsidRPr="000147EF">
        <w:rPr>
          <w:rFonts w:eastAsia="Arial"/>
        </w:rPr>
        <w:t>Madison County Administrative Office</w:t>
      </w:r>
    </w:p>
    <w:p w14:paraId="64FC70BD" w14:textId="4780CF3E" w:rsidR="002A0441" w:rsidRPr="000147EF" w:rsidRDefault="002A0441" w:rsidP="00274C9A">
      <w:pPr>
        <w:pStyle w:val="NoSpacing"/>
        <w:ind w:left="720" w:firstLine="720"/>
        <w:rPr>
          <w:rFonts w:eastAsia="Arial"/>
        </w:rPr>
      </w:pPr>
      <w:r w:rsidRPr="000147EF">
        <w:rPr>
          <w:rFonts w:eastAsia="Arial"/>
        </w:rPr>
        <w:t xml:space="preserve">220 SW Pinckney Street </w:t>
      </w:r>
    </w:p>
    <w:p w14:paraId="6A2B542E" w14:textId="5923FA42" w:rsidR="002A0441" w:rsidRPr="000147EF" w:rsidRDefault="002A0441" w:rsidP="00274C9A">
      <w:pPr>
        <w:pStyle w:val="NoSpacing"/>
        <w:ind w:left="720" w:firstLine="720"/>
      </w:pPr>
      <w:r w:rsidRPr="000147EF">
        <w:rPr>
          <w:rFonts w:eastAsia="Arial"/>
        </w:rPr>
        <w:t>Madison, FL 32340</w:t>
      </w:r>
    </w:p>
    <w:p w14:paraId="0CB21237" w14:textId="77777777" w:rsidR="002D2F79" w:rsidRPr="000147EF" w:rsidRDefault="002D2F79" w:rsidP="000035E0">
      <w:pPr>
        <w:tabs>
          <w:tab w:val="left" w:pos="450"/>
        </w:tabs>
        <w:ind w:firstLine="360"/>
      </w:pPr>
    </w:p>
    <w:p w14:paraId="3CA85B72" w14:textId="16A32AEA" w:rsidR="000035E0" w:rsidRPr="000147EF" w:rsidRDefault="000035E0" w:rsidP="006E54E8">
      <w:pPr>
        <w:tabs>
          <w:tab w:val="left" w:pos="450"/>
        </w:tabs>
      </w:pPr>
      <w:r w:rsidRPr="000147EF">
        <w:t>TMDLs TO BE PRESENTED:</w:t>
      </w:r>
    </w:p>
    <w:p w14:paraId="5FDC3520" w14:textId="77777777" w:rsidR="00961AB1" w:rsidRPr="000147EF" w:rsidRDefault="00961AB1" w:rsidP="00961AB1">
      <w:pPr>
        <w:rPr>
          <w:u w:val="single"/>
        </w:rPr>
      </w:pPr>
    </w:p>
    <w:p w14:paraId="04CE777F" w14:textId="6A0FB7FD" w:rsidR="00961AB1" w:rsidRPr="000147EF" w:rsidRDefault="00961AB1" w:rsidP="006E54E8">
      <w:pPr>
        <w:rPr>
          <w:u w:val="single"/>
        </w:rPr>
      </w:pPr>
      <w:r w:rsidRPr="000147EF">
        <w:rPr>
          <w:u w:val="single"/>
        </w:rPr>
        <w:t>Nutrient TMDLs that will constitute site specific numeric interpretations of the narrative nutrient criterion set forth in paragraph 62-302.530(48)(b), F.A.C. for:</w:t>
      </w:r>
    </w:p>
    <w:p w14:paraId="3554484B" w14:textId="77777777" w:rsidR="003864AD" w:rsidRPr="000147EF" w:rsidRDefault="003864AD" w:rsidP="006E54E8">
      <w:pPr>
        <w:rPr>
          <w:u w:val="single"/>
        </w:rPr>
      </w:pPr>
    </w:p>
    <w:p w14:paraId="4C558D64" w14:textId="77777777" w:rsidR="00961AB1" w:rsidRPr="000147EF" w:rsidRDefault="00961AB1" w:rsidP="00961AB1"/>
    <w:p w14:paraId="27AFBA13" w14:textId="77777777" w:rsidR="00274C9A" w:rsidRDefault="00890672">
      <w:r w:rsidRPr="000147EF">
        <w:rPr>
          <w:b/>
          <w:bCs/>
        </w:rPr>
        <w:t>Applicable to Rule 62-304.</w:t>
      </w:r>
      <w:r w:rsidR="000F45CE" w:rsidRPr="000147EF">
        <w:rPr>
          <w:b/>
          <w:bCs/>
        </w:rPr>
        <w:t>400</w:t>
      </w:r>
      <w:r w:rsidRPr="000147EF">
        <w:rPr>
          <w:b/>
          <w:bCs/>
        </w:rPr>
        <w:t xml:space="preserve">, F.AC. in the </w:t>
      </w:r>
      <w:r w:rsidR="000F45CE" w:rsidRPr="000147EF">
        <w:rPr>
          <w:b/>
          <w:bCs/>
        </w:rPr>
        <w:t>Upper Suwannee</w:t>
      </w:r>
      <w:r w:rsidR="002F75B1" w:rsidRPr="000147EF">
        <w:rPr>
          <w:b/>
          <w:bCs/>
        </w:rPr>
        <w:t xml:space="preserve"> River Basin:</w:t>
      </w:r>
      <w:r w:rsidR="002F75B1" w:rsidRPr="000147EF">
        <w:t xml:space="preserve"> </w:t>
      </w:r>
    </w:p>
    <w:p w14:paraId="2A4D2289" w14:textId="026CEC3E" w:rsidR="002F75B1" w:rsidRPr="0072301E" w:rsidRDefault="00BB768D">
      <w:r w:rsidRPr="000147EF">
        <w:t xml:space="preserve">Lake </w:t>
      </w:r>
      <w:r w:rsidR="002A0441" w:rsidRPr="000147EF">
        <w:t>Francis (WBID 3366A).</w:t>
      </w:r>
    </w:p>
    <w:p w14:paraId="7EF7DA72" w14:textId="77777777" w:rsidR="002F75B1" w:rsidRPr="0072301E" w:rsidRDefault="002F75B1"/>
    <w:p w14:paraId="79462361" w14:textId="77777777" w:rsidR="0072301E" w:rsidRPr="0072301E" w:rsidRDefault="0072301E" w:rsidP="0072301E">
      <w:pPr>
        <w:rPr>
          <w:rFonts w:eastAsia="Arial"/>
          <w:b/>
        </w:rPr>
      </w:pPr>
    </w:p>
    <w:p w14:paraId="214FFADF" w14:textId="5ABA9996" w:rsidR="000035E0" w:rsidRPr="0072301E" w:rsidRDefault="000035E0" w:rsidP="000035E0">
      <w:pPr>
        <w:spacing w:after="259" w:line="286" w:lineRule="auto"/>
        <w:ind w:left="1627" w:hanging="10"/>
      </w:pPr>
      <w:r w:rsidRPr="0072301E">
        <w:rPr>
          <w:rFonts w:eastAsia="Arial"/>
          <w:b/>
        </w:rPr>
        <w:t>THIS MEETING IS OPEN TO THE PUBLIC</w:t>
      </w:r>
    </w:p>
    <w:p w14:paraId="7B6AF6A8" w14:textId="12C84B88" w:rsidR="008A349B" w:rsidRPr="0072301E" w:rsidRDefault="000035E0" w:rsidP="0072301E">
      <w:pPr>
        <w:spacing w:after="563"/>
        <w:ind w:left="-749"/>
        <w:rPr>
          <w:b/>
        </w:rPr>
      </w:pPr>
      <w:r w:rsidRPr="0072301E">
        <w:rPr>
          <w:b/>
          <w:noProof/>
        </w:rPr>
        <mc:AlternateContent>
          <mc:Choice Requires="wpg">
            <w:drawing>
              <wp:inline distT="0" distB="0" distL="0" distR="0" wp14:anchorId="6BB455BE" wp14:editId="004A518A">
                <wp:extent cx="5980176" cy="18288"/>
                <wp:effectExtent l="0" t="0" r="0" b="0"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EB094" id="Group 486" o:spid="_x0000_s1026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">
                <v:shape id="Shape 652" o:spid="_x0000_s1027" style="position:absolute;width:59801;height:182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14:paraId="2ACDAC98" w14:textId="1D5FB337" w:rsidR="000035E0" w:rsidRPr="0072301E" w:rsidRDefault="000035E0" w:rsidP="006E54E8">
      <w:pPr>
        <w:pStyle w:val="Title"/>
      </w:pPr>
      <w:r w:rsidRPr="0072301E">
        <w:rPr>
          <w:u w:val="none"/>
        </w:rPr>
        <w:t>AGENDA</w:t>
      </w:r>
    </w:p>
    <w:p w14:paraId="5E229EF9" w14:textId="77777777" w:rsidR="007E2D82" w:rsidRPr="0072301E" w:rsidRDefault="007E2D82" w:rsidP="000035E0"/>
    <w:p w14:paraId="2F6317BD" w14:textId="77777777" w:rsidR="000035E0" w:rsidRPr="0072301E" w:rsidRDefault="000035E0" w:rsidP="000035E0">
      <w:pPr>
        <w:numPr>
          <w:ilvl w:val="0"/>
          <w:numId w:val="1"/>
        </w:numPr>
        <w:tabs>
          <w:tab w:val="left" w:pos="4464"/>
          <w:tab w:val="right" w:pos="9360"/>
        </w:tabs>
      </w:pPr>
      <w:r w:rsidRPr="0072301E">
        <w:t xml:space="preserve">Introduction and Meeting Purpose </w:t>
      </w:r>
    </w:p>
    <w:p w14:paraId="0792834F" w14:textId="62164C08" w:rsidR="000035E0" w:rsidRPr="0072301E" w:rsidRDefault="000035E0" w:rsidP="000035E0">
      <w:pPr>
        <w:numPr>
          <w:ilvl w:val="0"/>
          <w:numId w:val="1"/>
        </w:numPr>
        <w:tabs>
          <w:tab w:val="left" w:pos="4464"/>
          <w:tab w:val="right" w:pos="9360"/>
        </w:tabs>
      </w:pPr>
      <w:r w:rsidRPr="0072301E">
        <w:t xml:space="preserve">Overview of </w:t>
      </w:r>
      <w:r w:rsidR="00BB768D" w:rsidRPr="0072301E">
        <w:t xml:space="preserve">Nutrient TMDLs for </w:t>
      </w:r>
      <w:r w:rsidR="00961AB1" w:rsidRPr="0072301E">
        <w:t xml:space="preserve">impaired </w:t>
      </w:r>
      <w:r w:rsidR="00BB768D" w:rsidRPr="0072301E">
        <w:t>lakes</w:t>
      </w:r>
    </w:p>
    <w:p w14:paraId="1AC4126B" w14:textId="11465A7A" w:rsidR="000035E0" w:rsidRPr="0072301E" w:rsidRDefault="000035E0" w:rsidP="000035E0">
      <w:pPr>
        <w:numPr>
          <w:ilvl w:val="0"/>
          <w:numId w:val="1"/>
        </w:numPr>
        <w:tabs>
          <w:tab w:val="left" w:pos="4464"/>
          <w:tab w:val="right" w:pos="9360"/>
        </w:tabs>
      </w:pPr>
      <w:r w:rsidRPr="0072301E">
        <w:t xml:space="preserve">Formal Public Comments </w:t>
      </w:r>
    </w:p>
    <w:p w14:paraId="32F14472" w14:textId="2E7CD3D0" w:rsidR="00F30705" w:rsidRPr="0072301E" w:rsidRDefault="00FF0E2B" w:rsidP="00E848AF">
      <w:pPr>
        <w:numPr>
          <w:ilvl w:val="0"/>
          <w:numId w:val="1"/>
        </w:numPr>
        <w:tabs>
          <w:tab w:val="left" w:pos="4464"/>
          <w:tab w:val="right" w:pos="9360"/>
        </w:tabs>
      </w:pPr>
      <w:r w:rsidRPr="0072301E">
        <w:t>Summary and Next Steps</w:t>
      </w:r>
    </w:p>
    <w:sectPr w:rsidR="00F30705" w:rsidRPr="0072301E" w:rsidSect="00BC7757"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92AC" w14:textId="77777777" w:rsidR="00A70878" w:rsidRDefault="00A70878">
      <w:r>
        <w:separator/>
      </w:r>
    </w:p>
  </w:endnote>
  <w:endnote w:type="continuationSeparator" w:id="0">
    <w:p w14:paraId="1A27F74C" w14:textId="77777777" w:rsidR="00A70878" w:rsidRDefault="00A7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4750" w14:textId="21366D7F" w:rsidR="00B83D41" w:rsidRPr="00B83D41" w:rsidRDefault="00B83D41" w:rsidP="00B83D41">
    <w:pPr>
      <w:pStyle w:val="Footer"/>
      <w:jc w:val="center"/>
    </w:pPr>
    <w:hyperlink r:id="rId1" w:history="1">
      <w:r w:rsidRPr="00FA79E9">
        <w:rPr>
          <w:rStyle w:val="Hyperlink"/>
        </w:rPr>
        <w:t>https://floridadep.gov/dear/water-quality-evaluation-tmdl/content/draft-tmdls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EA63" w14:textId="77777777" w:rsidR="00A70878" w:rsidRDefault="00A70878">
      <w:r>
        <w:separator/>
      </w:r>
    </w:p>
  </w:footnote>
  <w:footnote w:type="continuationSeparator" w:id="0">
    <w:p w14:paraId="53418630" w14:textId="77777777" w:rsidR="00A70878" w:rsidRDefault="00A7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14:paraId="06684306" w14:textId="77777777" w:rsidTr="004529AA">
      <w:tc>
        <w:tcPr>
          <w:tcW w:w="2340" w:type="dxa"/>
        </w:tcPr>
        <w:p w14:paraId="1D56D03D" w14:textId="27778B92" w:rsidR="001F4204" w:rsidRDefault="004529AA" w:rsidP="004529AA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67F6F48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lorida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epartment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BC7757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o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</w:p>
        <w:p w14:paraId="01DCDCB3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 xml:space="preserve"> P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rotection</w:t>
          </w:r>
        </w:p>
        <w:p w14:paraId="110B73B5" w14:textId="77777777" w:rsidR="001F4204" w:rsidRPr="004529AA" w:rsidRDefault="001F4204" w:rsidP="005330DF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5B19E77E" w14:textId="75CAA01A" w:rsidR="004835F2" w:rsidRPr="004835F2" w:rsidRDefault="001F4204" w:rsidP="004835F2">
          <w:pPr>
            <w:jc w:val="center"/>
            <w:rPr>
              <w:rFonts w:ascii="Franklin Gothic Medium Cond" w:eastAsia="Adobe Fan Heiti Std B" w:hAnsi="Franklin Gothic Medium Cond" w:cs="Tahoma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0167B7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Marjory Stoneman Douglas Building</w:t>
          </w:r>
          <w:r w:rsidR="00776F3E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</w:r>
          <w:r w:rsidR="000167B7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3900 Commonwealth Boulevard</w:t>
          </w:r>
        </w:p>
        <w:p w14:paraId="7F628E77" w14:textId="606A3F37" w:rsidR="001F4204" w:rsidRPr="004529AA" w:rsidRDefault="000167B7" w:rsidP="005330DF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Tallahassee, FL 32399</w:t>
          </w:r>
          <w:r w:rsidR="001F4204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7210C706" w14:textId="77777777" w:rsidR="0097012D" w:rsidRPr="00107AE6" w:rsidRDefault="0097012D" w:rsidP="0097012D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Ron DeSantis</w:t>
          </w:r>
        </w:p>
        <w:p w14:paraId="08B023E6" w14:textId="77777777" w:rsidR="0097012D" w:rsidRPr="004529AA" w:rsidRDefault="0097012D" w:rsidP="0097012D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Governor</w:t>
          </w:r>
        </w:p>
        <w:p w14:paraId="1096C7E9" w14:textId="77777777" w:rsidR="0097012D" w:rsidRPr="004529AA" w:rsidRDefault="0097012D" w:rsidP="00B2508C">
          <w:pPr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0554CA77" w14:textId="77777777" w:rsidR="00C96409" w:rsidRPr="000736EF" w:rsidRDefault="00C96409" w:rsidP="00C96409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0736EF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Alexis A. Lambert</w:t>
          </w:r>
        </w:p>
        <w:p w14:paraId="50E899FC" w14:textId="19270BD0" w:rsidR="001F4204" w:rsidRPr="004529AA" w:rsidRDefault="0097012D" w:rsidP="0097012D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Secretary</w:t>
          </w:r>
          <w:r w:rsidRPr="004529AA"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  <w:t xml:space="preserve"> </w:t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554D6"/>
    <w:multiLevelType w:val="hybridMultilevel"/>
    <w:tmpl w:val="7C4CE0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5091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035E0"/>
    <w:rsid w:val="000147EF"/>
    <w:rsid w:val="000167B7"/>
    <w:rsid w:val="00024FB9"/>
    <w:rsid w:val="00085804"/>
    <w:rsid w:val="000A5E18"/>
    <w:rsid w:val="000B7787"/>
    <w:rsid w:val="000B77BF"/>
    <w:rsid w:val="000D6C6A"/>
    <w:rsid w:val="000F26C4"/>
    <w:rsid w:val="000F45CE"/>
    <w:rsid w:val="000F5650"/>
    <w:rsid w:val="00107AE6"/>
    <w:rsid w:val="00144BA7"/>
    <w:rsid w:val="00147470"/>
    <w:rsid w:val="001764D6"/>
    <w:rsid w:val="001A7D80"/>
    <w:rsid w:val="001C7948"/>
    <w:rsid w:val="001D0D8E"/>
    <w:rsid w:val="001F4204"/>
    <w:rsid w:val="00204367"/>
    <w:rsid w:val="002068F6"/>
    <w:rsid w:val="0021603E"/>
    <w:rsid w:val="00217006"/>
    <w:rsid w:val="002331A5"/>
    <w:rsid w:val="00234090"/>
    <w:rsid w:val="00245CCC"/>
    <w:rsid w:val="0025632E"/>
    <w:rsid w:val="00262F19"/>
    <w:rsid w:val="00274C9A"/>
    <w:rsid w:val="002A0441"/>
    <w:rsid w:val="002D2F79"/>
    <w:rsid w:val="002F13F7"/>
    <w:rsid w:val="002F2ED6"/>
    <w:rsid w:val="002F5A54"/>
    <w:rsid w:val="002F75B1"/>
    <w:rsid w:val="003074DF"/>
    <w:rsid w:val="00323B4E"/>
    <w:rsid w:val="003328B5"/>
    <w:rsid w:val="003432F0"/>
    <w:rsid w:val="003444B1"/>
    <w:rsid w:val="00346CC0"/>
    <w:rsid w:val="0035275E"/>
    <w:rsid w:val="00371BFA"/>
    <w:rsid w:val="003730FF"/>
    <w:rsid w:val="003864AD"/>
    <w:rsid w:val="00393786"/>
    <w:rsid w:val="003B154F"/>
    <w:rsid w:val="00431C9D"/>
    <w:rsid w:val="0043307C"/>
    <w:rsid w:val="004341E2"/>
    <w:rsid w:val="004529AA"/>
    <w:rsid w:val="00453EB0"/>
    <w:rsid w:val="00463DB6"/>
    <w:rsid w:val="004835F2"/>
    <w:rsid w:val="004945E0"/>
    <w:rsid w:val="004B3415"/>
    <w:rsid w:val="0052119C"/>
    <w:rsid w:val="005330DF"/>
    <w:rsid w:val="00533326"/>
    <w:rsid w:val="00562AFC"/>
    <w:rsid w:val="005648FA"/>
    <w:rsid w:val="0057194F"/>
    <w:rsid w:val="00591248"/>
    <w:rsid w:val="005D7B0A"/>
    <w:rsid w:val="00602CF0"/>
    <w:rsid w:val="0060739C"/>
    <w:rsid w:val="00640E0E"/>
    <w:rsid w:val="006559C0"/>
    <w:rsid w:val="006B3750"/>
    <w:rsid w:val="006D19EE"/>
    <w:rsid w:val="006D51BE"/>
    <w:rsid w:val="006D66C7"/>
    <w:rsid w:val="006D6943"/>
    <w:rsid w:val="006E54E8"/>
    <w:rsid w:val="0072301E"/>
    <w:rsid w:val="007438C2"/>
    <w:rsid w:val="0075151B"/>
    <w:rsid w:val="00757C5F"/>
    <w:rsid w:val="007637F8"/>
    <w:rsid w:val="00767169"/>
    <w:rsid w:val="00776F3E"/>
    <w:rsid w:val="007856A2"/>
    <w:rsid w:val="007E0CE4"/>
    <w:rsid w:val="007E2D82"/>
    <w:rsid w:val="007F7F76"/>
    <w:rsid w:val="00821EF2"/>
    <w:rsid w:val="00841BB7"/>
    <w:rsid w:val="00881B99"/>
    <w:rsid w:val="008822EA"/>
    <w:rsid w:val="00890672"/>
    <w:rsid w:val="008A349B"/>
    <w:rsid w:val="008A4175"/>
    <w:rsid w:val="008F1077"/>
    <w:rsid w:val="00902FCC"/>
    <w:rsid w:val="0091473E"/>
    <w:rsid w:val="00936F51"/>
    <w:rsid w:val="00947C6B"/>
    <w:rsid w:val="00961AB1"/>
    <w:rsid w:val="0097012D"/>
    <w:rsid w:val="00984A0D"/>
    <w:rsid w:val="009F218F"/>
    <w:rsid w:val="00A333FD"/>
    <w:rsid w:val="00A34253"/>
    <w:rsid w:val="00A42C03"/>
    <w:rsid w:val="00A70878"/>
    <w:rsid w:val="00AB411A"/>
    <w:rsid w:val="00AD1A31"/>
    <w:rsid w:val="00AE6724"/>
    <w:rsid w:val="00B07DDC"/>
    <w:rsid w:val="00B13952"/>
    <w:rsid w:val="00B2508C"/>
    <w:rsid w:val="00B474D9"/>
    <w:rsid w:val="00B83D41"/>
    <w:rsid w:val="00B97A97"/>
    <w:rsid w:val="00BA2F64"/>
    <w:rsid w:val="00BB768D"/>
    <w:rsid w:val="00BC7757"/>
    <w:rsid w:val="00BC7E4D"/>
    <w:rsid w:val="00BE6C77"/>
    <w:rsid w:val="00C255E9"/>
    <w:rsid w:val="00C6793E"/>
    <w:rsid w:val="00C96409"/>
    <w:rsid w:val="00C97545"/>
    <w:rsid w:val="00CA5B7D"/>
    <w:rsid w:val="00CA691D"/>
    <w:rsid w:val="00CE09EF"/>
    <w:rsid w:val="00CE35F1"/>
    <w:rsid w:val="00CE49FE"/>
    <w:rsid w:val="00CF39E4"/>
    <w:rsid w:val="00D05DAC"/>
    <w:rsid w:val="00D10018"/>
    <w:rsid w:val="00D16369"/>
    <w:rsid w:val="00D2065F"/>
    <w:rsid w:val="00D26431"/>
    <w:rsid w:val="00D40E48"/>
    <w:rsid w:val="00D44B51"/>
    <w:rsid w:val="00DF1E23"/>
    <w:rsid w:val="00E0010E"/>
    <w:rsid w:val="00E33703"/>
    <w:rsid w:val="00E726F6"/>
    <w:rsid w:val="00E769A2"/>
    <w:rsid w:val="00E76F11"/>
    <w:rsid w:val="00E848AF"/>
    <w:rsid w:val="00E85E5F"/>
    <w:rsid w:val="00F01009"/>
    <w:rsid w:val="00F15D77"/>
    <w:rsid w:val="00F30705"/>
    <w:rsid w:val="00F37AE6"/>
    <w:rsid w:val="00F401A3"/>
    <w:rsid w:val="00F444B3"/>
    <w:rsid w:val="00F8290E"/>
    <w:rsid w:val="00FB75B9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4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0035E0"/>
    <w:pPr>
      <w:tabs>
        <w:tab w:val="left" w:pos="1080"/>
        <w:tab w:val="left" w:pos="2160"/>
        <w:tab w:val="left" w:pos="4464"/>
        <w:tab w:val="right" w:pos="9360"/>
      </w:tabs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035E0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0035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74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474D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074DF"/>
    <w:rPr>
      <w:sz w:val="24"/>
      <w:szCs w:val="24"/>
    </w:rPr>
  </w:style>
  <w:style w:type="paragraph" w:styleId="Revision">
    <w:name w:val="Revision"/>
    <w:hidden/>
    <w:uiPriority w:val="99"/>
    <w:semiHidden/>
    <w:rsid w:val="00961AB1"/>
    <w:rPr>
      <w:sz w:val="24"/>
      <w:szCs w:val="24"/>
    </w:rPr>
  </w:style>
  <w:style w:type="character" w:styleId="CommentReference">
    <w:name w:val="annotation reference"/>
    <w:basedOn w:val="DefaultParagraphFont"/>
    <w:rsid w:val="00961A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1AB1"/>
  </w:style>
  <w:style w:type="paragraph" w:styleId="CommentSubject">
    <w:name w:val="annotation subject"/>
    <w:basedOn w:val="CommentText"/>
    <w:next w:val="CommentText"/>
    <w:link w:val="CommentSubjectChar"/>
    <w:rsid w:val="0096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1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loridadep.gov/dear/water-quality-evaluation-tmdl/content/draft-tmd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9E32-0C36-4585-B059-0FEA9D9B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O'Donnell, Kevin</cp:lastModifiedBy>
  <cp:revision>8</cp:revision>
  <cp:lastPrinted>2015-04-28T17:20:00Z</cp:lastPrinted>
  <dcterms:created xsi:type="dcterms:W3CDTF">2025-04-07T17:16:00Z</dcterms:created>
  <dcterms:modified xsi:type="dcterms:W3CDTF">2025-05-14T18:48:00Z</dcterms:modified>
</cp:coreProperties>
</file>