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3BA3E" w14:textId="54DBEF9A" w:rsidR="00A643C1" w:rsidRDefault="00E46492" w:rsidP="00DC24A5">
      <w:pPr>
        <w:pStyle w:val="Title"/>
      </w:pPr>
      <w:r>
        <w:t xml:space="preserve">Application </w:t>
      </w:r>
      <w:r w:rsidR="00D72C93">
        <w:t>Development Standards</w:t>
      </w:r>
    </w:p>
    <w:sdt>
      <w:sdtPr>
        <w:rPr>
          <w:rFonts w:asciiTheme="minorHAnsi" w:eastAsiaTheme="minorEastAsia" w:hAnsiTheme="minorHAnsi" w:cstheme="minorBidi"/>
          <w:color w:val="auto"/>
          <w:sz w:val="22"/>
          <w:szCs w:val="22"/>
          <w:lang w:eastAsia="zh-CN"/>
        </w:rPr>
        <w:id w:val="-1369842336"/>
        <w:docPartObj>
          <w:docPartGallery w:val="Table of Contents"/>
          <w:docPartUnique/>
        </w:docPartObj>
      </w:sdtPr>
      <w:sdtEndPr>
        <w:rPr>
          <w:b/>
          <w:bCs/>
          <w:noProof/>
        </w:rPr>
      </w:sdtEndPr>
      <w:sdtContent>
        <w:p w14:paraId="07140481" w14:textId="2B6EDD4F" w:rsidR="0041198F" w:rsidRDefault="0041198F">
          <w:pPr>
            <w:pStyle w:val="TOCHeading"/>
          </w:pPr>
          <w:r>
            <w:t>Contents</w:t>
          </w:r>
        </w:p>
        <w:p w14:paraId="20F5F20C" w14:textId="12A96C8C" w:rsidR="0041198F" w:rsidRDefault="0041198F">
          <w:pPr>
            <w:pStyle w:val="TOC1"/>
            <w:tabs>
              <w:tab w:val="right" w:leader="dot" w:pos="9350"/>
            </w:tabs>
            <w:rPr>
              <w:noProof/>
            </w:rPr>
          </w:pPr>
          <w:r>
            <w:fldChar w:fldCharType="begin"/>
          </w:r>
          <w:r>
            <w:instrText xml:space="preserve"> TOC \o "1-3" \h \z \u </w:instrText>
          </w:r>
          <w:r>
            <w:fldChar w:fldCharType="separate"/>
          </w:r>
          <w:hyperlink w:anchor="_Toc119424452" w:history="1">
            <w:r w:rsidRPr="009F14BE">
              <w:rPr>
                <w:rStyle w:val="Hyperlink"/>
                <w:noProof/>
              </w:rPr>
              <w:t>General Standards</w:t>
            </w:r>
            <w:r>
              <w:rPr>
                <w:noProof/>
                <w:webHidden/>
              </w:rPr>
              <w:tab/>
            </w:r>
            <w:r>
              <w:rPr>
                <w:noProof/>
                <w:webHidden/>
              </w:rPr>
              <w:fldChar w:fldCharType="begin"/>
            </w:r>
            <w:r>
              <w:rPr>
                <w:noProof/>
                <w:webHidden/>
              </w:rPr>
              <w:instrText xml:space="preserve"> PAGEREF _Toc119424452 \h </w:instrText>
            </w:r>
            <w:r>
              <w:rPr>
                <w:noProof/>
                <w:webHidden/>
              </w:rPr>
            </w:r>
            <w:r>
              <w:rPr>
                <w:noProof/>
                <w:webHidden/>
              </w:rPr>
              <w:fldChar w:fldCharType="separate"/>
            </w:r>
            <w:r>
              <w:rPr>
                <w:noProof/>
                <w:webHidden/>
              </w:rPr>
              <w:t>1</w:t>
            </w:r>
            <w:r>
              <w:rPr>
                <w:noProof/>
                <w:webHidden/>
              </w:rPr>
              <w:fldChar w:fldCharType="end"/>
            </w:r>
          </w:hyperlink>
        </w:p>
        <w:p w14:paraId="16537F91" w14:textId="569035A9" w:rsidR="0041198F" w:rsidRDefault="00334FE5">
          <w:pPr>
            <w:pStyle w:val="TOC2"/>
            <w:tabs>
              <w:tab w:val="right" w:leader="dot" w:pos="9350"/>
            </w:tabs>
            <w:rPr>
              <w:noProof/>
            </w:rPr>
          </w:pPr>
          <w:hyperlink w:anchor="_Toc119424453" w:history="1">
            <w:r w:rsidR="0041198F" w:rsidRPr="009F14BE">
              <w:rPr>
                <w:rStyle w:val="Hyperlink"/>
                <w:noProof/>
              </w:rPr>
              <w:t>Privileged, Sensitive, and Dynamic Information</w:t>
            </w:r>
            <w:r w:rsidR="0041198F">
              <w:rPr>
                <w:noProof/>
                <w:webHidden/>
              </w:rPr>
              <w:tab/>
            </w:r>
            <w:r w:rsidR="0041198F">
              <w:rPr>
                <w:noProof/>
                <w:webHidden/>
              </w:rPr>
              <w:fldChar w:fldCharType="begin"/>
            </w:r>
            <w:r w:rsidR="0041198F">
              <w:rPr>
                <w:noProof/>
                <w:webHidden/>
              </w:rPr>
              <w:instrText xml:space="preserve"> PAGEREF _Toc119424453 \h </w:instrText>
            </w:r>
            <w:r w:rsidR="0041198F">
              <w:rPr>
                <w:noProof/>
                <w:webHidden/>
              </w:rPr>
            </w:r>
            <w:r w:rsidR="0041198F">
              <w:rPr>
                <w:noProof/>
                <w:webHidden/>
              </w:rPr>
              <w:fldChar w:fldCharType="separate"/>
            </w:r>
            <w:r w:rsidR="0041198F">
              <w:rPr>
                <w:noProof/>
                <w:webHidden/>
              </w:rPr>
              <w:t>1</w:t>
            </w:r>
            <w:r w:rsidR="0041198F">
              <w:rPr>
                <w:noProof/>
                <w:webHidden/>
              </w:rPr>
              <w:fldChar w:fldCharType="end"/>
            </w:r>
          </w:hyperlink>
        </w:p>
        <w:p w14:paraId="1C51A2E9" w14:textId="700A9EB3" w:rsidR="0041198F" w:rsidRDefault="00334FE5">
          <w:pPr>
            <w:pStyle w:val="TOC2"/>
            <w:tabs>
              <w:tab w:val="right" w:leader="dot" w:pos="9350"/>
            </w:tabs>
            <w:rPr>
              <w:noProof/>
            </w:rPr>
          </w:pPr>
          <w:hyperlink w:anchor="_Toc119424454" w:history="1">
            <w:r w:rsidR="0041198F" w:rsidRPr="009F14BE">
              <w:rPr>
                <w:rStyle w:val="Hyperlink"/>
                <w:noProof/>
              </w:rPr>
              <w:t>Prohibited Components and Frameworks</w:t>
            </w:r>
            <w:r w:rsidR="0041198F">
              <w:rPr>
                <w:noProof/>
                <w:webHidden/>
              </w:rPr>
              <w:tab/>
            </w:r>
            <w:r w:rsidR="0041198F">
              <w:rPr>
                <w:noProof/>
                <w:webHidden/>
              </w:rPr>
              <w:fldChar w:fldCharType="begin"/>
            </w:r>
            <w:r w:rsidR="0041198F">
              <w:rPr>
                <w:noProof/>
                <w:webHidden/>
              </w:rPr>
              <w:instrText xml:space="preserve"> PAGEREF _Toc119424454 \h </w:instrText>
            </w:r>
            <w:r w:rsidR="0041198F">
              <w:rPr>
                <w:noProof/>
                <w:webHidden/>
              </w:rPr>
            </w:r>
            <w:r w:rsidR="0041198F">
              <w:rPr>
                <w:noProof/>
                <w:webHidden/>
              </w:rPr>
              <w:fldChar w:fldCharType="separate"/>
            </w:r>
            <w:r w:rsidR="0041198F">
              <w:rPr>
                <w:noProof/>
                <w:webHidden/>
              </w:rPr>
              <w:t>1</w:t>
            </w:r>
            <w:r w:rsidR="0041198F">
              <w:rPr>
                <w:noProof/>
                <w:webHidden/>
              </w:rPr>
              <w:fldChar w:fldCharType="end"/>
            </w:r>
          </w:hyperlink>
        </w:p>
        <w:p w14:paraId="02E39832" w14:textId="2C6E2EE1" w:rsidR="0041198F" w:rsidRDefault="00334FE5">
          <w:pPr>
            <w:pStyle w:val="TOC2"/>
            <w:tabs>
              <w:tab w:val="right" w:leader="dot" w:pos="9350"/>
            </w:tabs>
            <w:rPr>
              <w:noProof/>
            </w:rPr>
          </w:pPr>
          <w:hyperlink w:anchor="_Toc119424455" w:history="1">
            <w:r w:rsidR="0041198F" w:rsidRPr="009F14BE">
              <w:rPr>
                <w:rStyle w:val="Hyperlink"/>
                <w:noProof/>
              </w:rPr>
              <w:t>Third-Party Components</w:t>
            </w:r>
            <w:r w:rsidR="0041198F">
              <w:rPr>
                <w:noProof/>
                <w:webHidden/>
              </w:rPr>
              <w:tab/>
            </w:r>
            <w:r w:rsidR="0041198F">
              <w:rPr>
                <w:noProof/>
                <w:webHidden/>
              </w:rPr>
              <w:fldChar w:fldCharType="begin"/>
            </w:r>
            <w:r w:rsidR="0041198F">
              <w:rPr>
                <w:noProof/>
                <w:webHidden/>
              </w:rPr>
              <w:instrText xml:space="preserve"> PAGEREF _Toc119424455 \h </w:instrText>
            </w:r>
            <w:r w:rsidR="0041198F">
              <w:rPr>
                <w:noProof/>
                <w:webHidden/>
              </w:rPr>
            </w:r>
            <w:r w:rsidR="0041198F">
              <w:rPr>
                <w:noProof/>
                <w:webHidden/>
              </w:rPr>
              <w:fldChar w:fldCharType="separate"/>
            </w:r>
            <w:r w:rsidR="0041198F">
              <w:rPr>
                <w:noProof/>
                <w:webHidden/>
              </w:rPr>
              <w:t>1</w:t>
            </w:r>
            <w:r w:rsidR="0041198F">
              <w:rPr>
                <w:noProof/>
                <w:webHidden/>
              </w:rPr>
              <w:fldChar w:fldCharType="end"/>
            </w:r>
          </w:hyperlink>
        </w:p>
        <w:p w14:paraId="70525794" w14:textId="13329FD7" w:rsidR="0041198F" w:rsidRDefault="00334FE5">
          <w:pPr>
            <w:pStyle w:val="TOC2"/>
            <w:tabs>
              <w:tab w:val="right" w:leader="dot" w:pos="9350"/>
            </w:tabs>
            <w:rPr>
              <w:noProof/>
            </w:rPr>
          </w:pPr>
          <w:hyperlink w:anchor="_Toc119424456" w:history="1">
            <w:r w:rsidR="0041198F" w:rsidRPr="009F14BE">
              <w:rPr>
                <w:rStyle w:val="Hyperlink"/>
                <w:noProof/>
              </w:rPr>
              <w:t>Third-Party Services</w:t>
            </w:r>
            <w:r w:rsidR="0041198F">
              <w:rPr>
                <w:noProof/>
                <w:webHidden/>
              </w:rPr>
              <w:tab/>
            </w:r>
            <w:r w:rsidR="0041198F">
              <w:rPr>
                <w:noProof/>
                <w:webHidden/>
              </w:rPr>
              <w:fldChar w:fldCharType="begin"/>
            </w:r>
            <w:r w:rsidR="0041198F">
              <w:rPr>
                <w:noProof/>
                <w:webHidden/>
              </w:rPr>
              <w:instrText xml:space="preserve"> PAGEREF _Toc119424456 \h </w:instrText>
            </w:r>
            <w:r w:rsidR="0041198F">
              <w:rPr>
                <w:noProof/>
                <w:webHidden/>
              </w:rPr>
            </w:r>
            <w:r w:rsidR="0041198F">
              <w:rPr>
                <w:noProof/>
                <w:webHidden/>
              </w:rPr>
              <w:fldChar w:fldCharType="separate"/>
            </w:r>
            <w:r w:rsidR="0041198F">
              <w:rPr>
                <w:noProof/>
                <w:webHidden/>
              </w:rPr>
              <w:t>2</w:t>
            </w:r>
            <w:r w:rsidR="0041198F">
              <w:rPr>
                <w:noProof/>
                <w:webHidden/>
              </w:rPr>
              <w:fldChar w:fldCharType="end"/>
            </w:r>
          </w:hyperlink>
        </w:p>
        <w:p w14:paraId="21F6C96C" w14:textId="41116462" w:rsidR="0041198F" w:rsidRDefault="00334FE5">
          <w:pPr>
            <w:pStyle w:val="TOC2"/>
            <w:tabs>
              <w:tab w:val="right" w:leader="dot" w:pos="9350"/>
            </w:tabs>
            <w:rPr>
              <w:noProof/>
            </w:rPr>
          </w:pPr>
          <w:hyperlink w:anchor="_Toc119424457" w:history="1">
            <w:r w:rsidR="0041198F" w:rsidRPr="009F14BE">
              <w:rPr>
                <w:rStyle w:val="Hyperlink"/>
                <w:noProof/>
              </w:rPr>
              <w:t>Style and Conventions</w:t>
            </w:r>
            <w:r w:rsidR="0041198F">
              <w:rPr>
                <w:noProof/>
                <w:webHidden/>
              </w:rPr>
              <w:tab/>
            </w:r>
            <w:r w:rsidR="0041198F">
              <w:rPr>
                <w:noProof/>
                <w:webHidden/>
              </w:rPr>
              <w:fldChar w:fldCharType="begin"/>
            </w:r>
            <w:r w:rsidR="0041198F">
              <w:rPr>
                <w:noProof/>
                <w:webHidden/>
              </w:rPr>
              <w:instrText xml:space="preserve"> PAGEREF _Toc119424457 \h </w:instrText>
            </w:r>
            <w:r w:rsidR="0041198F">
              <w:rPr>
                <w:noProof/>
                <w:webHidden/>
              </w:rPr>
            </w:r>
            <w:r w:rsidR="0041198F">
              <w:rPr>
                <w:noProof/>
                <w:webHidden/>
              </w:rPr>
              <w:fldChar w:fldCharType="separate"/>
            </w:r>
            <w:r w:rsidR="0041198F">
              <w:rPr>
                <w:noProof/>
                <w:webHidden/>
              </w:rPr>
              <w:t>2</w:t>
            </w:r>
            <w:r w:rsidR="0041198F">
              <w:rPr>
                <w:noProof/>
                <w:webHidden/>
              </w:rPr>
              <w:fldChar w:fldCharType="end"/>
            </w:r>
          </w:hyperlink>
        </w:p>
        <w:p w14:paraId="1399F9FF" w14:textId="5924D77F" w:rsidR="0041198F" w:rsidRDefault="00334FE5">
          <w:pPr>
            <w:pStyle w:val="TOC3"/>
            <w:tabs>
              <w:tab w:val="right" w:leader="dot" w:pos="9350"/>
            </w:tabs>
            <w:rPr>
              <w:noProof/>
            </w:rPr>
          </w:pPr>
          <w:hyperlink w:anchor="_Toc119424458" w:history="1">
            <w:r w:rsidR="0041198F" w:rsidRPr="009F14BE">
              <w:rPr>
                <w:rStyle w:val="Hyperlink"/>
                <w:noProof/>
              </w:rPr>
              <w:t>Naming: Packages and Directories</w:t>
            </w:r>
            <w:r w:rsidR="0041198F">
              <w:rPr>
                <w:noProof/>
                <w:webHidden/>
              </w:rPr>
              <w:tab/>
            </w:r>
            <w:r w:rsidR="0041198F">
              <w:rPr>
                <w:noProof/>
                <w:webHidden/>
              </w:rPr>
              <w:fldChar w:fldCharType="begin"/>
            </w:r>
            <w:r w:rsidR="0041198F">
              <w:rPr>
                <w:noProof/>
                <w:webHidden/>
              </w:rPr>
              <w:instrText xml:space="preserve"> PAGEREF _Toc119424458 \h </w:instrText>
            </w:r>
            <w:r w:rsidR="0041198F">
              <w:rPr>
                <w:noProof/>
                <w:webHidden/>
              </w:rPr>
            </w:r>
            <w:r w:rsidR="0041198F">
              <w:rPr>
                <w:noProof/>
                <w:webHidden/>
              </w:rPr>
              <w:fldChar w:fldCharType="separate"/>
            </w:r>
            <w:r w:rsidR="0041198F">
              <w:rPr>
                <w:noProof/>
                <w:webHidden/>
              </w:rPr>
              <w:t>2</w:t>
            </w:r>
            <w:r w:rsidR="0041198F">
              <w:rPr>
                <w:noProof/>
                <w:webHidden/>
              </w:rPr>
              <w:fldChar w:fldCharType="end"/>
            </w:r>
          </w:hyperlink>
        </w:p>
        <w:p w14:paraId="1518633D" w14:textId="0D77581E" w:rsidR="0041198F" w:rsidRDefault="00334FE5">
          <w:pPr>
            <w:pStyle w:val="TOC3"/>
            <w:tabs>
              <w:tab w:val="right" w:leader="dot" w:pos="9350"/>
            </w:tabs>
            <w:rPr>
              <w:noProof/>
            </w:rPr>
          </w:pPr>
          <w:hyperlink w:anchor="_Toc119424459" w:history="1">
            <w:r w:rsidR="0041198F" w:rsidRPr="009F14BE">
              <w:rPr>
                <w:rStyle w:val="Hyperlink"/>
                <w:noProof/>
              </w:rPr>
              <w:t>Naming: Variables, Constants, Files, Classes (“Elements”)</w:t>
            </w:r>
            <w:r w:rsidR="0041198F">
              <w:rPr>
                <w:noProof/>
                <w:webHidden/>
              </w:rPr>
              <w:tab/>
            </w:r>
            <w:r w:rsidR="0041198F">
              <w:rPr>
                <w:noProof/>
                <w:webHidden/>
              </w:rPr>
              <w:fldChar w:fldCharType="begin"/>
            </w:r>
            <w:r w:rsidR="0041198F">
              <w:rPr>
                <w:noProof/>
                <w:webHidden/>
              </w:rPr>
              <w:instrText xml:space="preserve"> PAGEREF _Toc119424459 \h </w:instrText>
            </w:r>
            <w:r w:rsidR="0041198F">
              <w:rPr>
                <w:noProof/>
                <w:webHidden/>
              </w:rPr>
            </w:r>
            <w:r w:rsidR="0041198F">
              <w:rPr>
                <w:noProof/>
                <w:webHidden/>
              </w:rPr>
              <w:fldChar w:fldCharType="separate"/>
            </w:r>
            <w:r w:rsidR="0041198F">
              <w:rPr>
                <w:noProof/>
                <w:webHidden/>
              </w:rPr>
              <w:t>2</w:t>
            </w:r>
            <w:r w:rsidR="0041198F">
              <w:rPr>
                <w:noProof/>
                <w:webHidden/>
              </w:rPr>
              <w:fldChar w:fldCharType="end"/>
            </w:r>
          </w:hyperlink>
        </w:p>
        <w:p w14:paraId="63A3C618" w14:textId="301A644F" w:rsidR="0041198F" w:rsidRDefault="00334FE5">
          <w:pPr>
            <w:pStyle w:val="TOC3"/>
            <w:tabs>
              <w:tab w:val="right" w:leader="dot" w:pos="9350"/>
            </w:tabs>
            <w:rPr>
              <w:noProof/>
            </w:rPr>
          </w:pPr>
          <w:hyperlink w:anchor="_Toc119424460" w:history="1">
            <w:r w:rsidR="0041198F" w:rsidRPr="009F14BE">
              <w:rPr>
                <w:rStyle w:val="Hyperlink"/>
                <w:noProof/>
              </w:rPr>
              <w:t>Other Conventions</w:t>
            </w:r>
            <w:r w:rsidR="0041198F">
              <w:rPr>
                <w:noProof/>
                <w:webHidden/>
              </w:rPr>
              <w:tab/>
            </w:r>
            <w:r w:rsidR="0041198F">
              <w:rPr>
                <w:noProof/>
                <w:webHidden/>
              </w:rPr>
              <w:fldChar w:fldCharType="begin"/>
            </w:r>
            <w:r w:rsidR="0041198F">
              <w:rPr>
                <w:noProof/>
                <w:webHidden/>
              </w:rPr>
              <w:instrText xml:space="preserve"> PAGEREF _Toc119424460 \h </w:instrText>
            </w:r>
            <w:r w:rsidR="0041198F">
              <w:rPr>
                <w:noProof/>
                <w:webHidden/>
              </w:rPr>
            </w:r>
            <w:r w:rsidR="0041198F">
              <w:rPr>
                <w:noProof/>
                <w:webHidden/>
              </w:rPr>
              <w:fldChar w:fldCharType="separate"/>
            </w:r>
            <w:r w:rsidR="0041198F">
              <w:rPr>
                <w:noProof/>
                <w:webHidden/>
              </w:rPr>
              <w:t>3</w:t>
            </w:r>
            <w:r w:rsidR="0041198F">
              <w:rPr>
                <w:noProof/>
                <w:webHidden/>
              </w:rPr>
              <w:fldChar w:fldCharType="end"/>
            </w:r>
          </w:hyperlink>
        </w:p>
        <w:p w14:paraId="1CF363A2" w14:textId="3C87CE26" w:rsidR="0041198F" w:rsidRDefault="00334FE5">
          <w:pPr>
            <w:pStyle w:val="TOC1"/>
            <w:tabs>
              <w:tab w:val="right" w:leader="dot" w:pos="9350"/>
            </w:tabs>
            <w:rPr>
              <w:noProof/>
            </w:rPr>
          </w:pPr>
          <w:hyperlink w:anchor="_Toc119424461" w:history="1">
            <w:r w:rsidR="0041198F" w:rsidRPr="009F14BE">
              <w:rPr>
                <w:rStyle w:val="Hyperlink"/>
                <w:noProof/>
              </w:rPr>
              <w:t>Definitions</w:t>
            </w:r>
            <w:r w:rsidR="0041198F">
              <w:rPr>
                <w:noProof/>
                <w:webHidden/>
              </w:rPr>
              <w:tab/>
            </w:r>
            <w:r w:rsidR="0041198F">
              <w:rPr>
                <w:noProof/>
                <w:webHidden/>
              </w:rPr>
              <w:fldChar w:fldCharType="begin"/>
            </w:r>
            <w:r w:rsidR="0041198F">
              <w:rPr>
                <w:noProof/>
                <w:webHidden/>
              </w:rPr>
              <w:instrText xml:space="preserve"> PAGEREF _Toc119424461 \h </w:instrText>
            </w:r>
            <w:r w:rsidR="0041198F">
              <w:rPr>
                <w:noProof/>
                <w:webHidden/>
              </w:rPr>
            </w:r>
            <w:r w:rsidR="0041198F">
              <w:rPr>
                <w:noProof/>
                <w:webHidden/>
              </w:rPr>
              <w:fldChar w:fldCharType="separate"/>
            </w:r>
            <w:r w:rsidR="0041198F">
              <w:rPr>
                <w:noProof/>
                <w:webHidden/>
              </w:rPr>
              <w:t>3</w:t>
            </w:r>
            <w:r w:rsidR="0041198F">
              <w:rPr>
                <w:noProof/>
                <w:webHidden/>
              </w:rPr>
              <w:fldChar w:fldCharType="end"/>
            </w:r>
          </w:hyperlink>
        </w:p>
        <w:p w14:paraId="1CB84681" w14:textId="77777777" w:rsidR="0041198F" w:rsidRDefault="0041198F" w:rsidP="0041198F">
          <w:pPr>
            <w:rPr>
              <w:b/>
              <w:bCs/>
              <w:noProof/>
            </w:rPr>
          </w:pPr>
          <w:r>
            <w:rPr>
              <w:b/>
              <w:bCs/>
              <w:noProof/>
            </w:rPr>
            <w:fldChar w:fldCharType="end"/>
          </w:r>
        </w:p>
      </w:sdtContent>
    </w:sdt>
    <w:bookmarkStart w:id="0" w:name="_Toc119424452" w:displacedByCustomXml="prev"/>
    <w:p w14:paraId="1C9DCB59" w14:textId="630C338A" w:rsidR="00D72C93" w:rsidRDefault="00E46492" w:rsidP="00DC24A5">
      <w:pPr>
        <w:pStyle w:val="Heading1"/>
      </w:pPr>
      <w:r>
        <w:t>General Standards</w:t>
      </w:r>
      <w:bookmarkEnd w:id="0"/>
    </w:p>
    <w:p w14:paraId="60AFC060" w14:textId="3AD37B93" w:rsidR="00EC5959" w:rsidRDefault="00EC5959" w:rsidP="00DC24A5">
      <w:pPr>
        <w:pStyle w:val="Heading2"/>
      </w:pPr>
      <w:bookmarkStart w:id="1" w:name="_Toc119424453"/>
      <w:r>
        <w:t>Privileged, Sensitive, and Dynamic Information</w:t>
      </w:r>
      <w:bookmarkEnd w:id="1"/>
    </w:p>
    <w:p w14:paraId="7858A2C4" w14:textId="77777777" w:rsidR="002D6989" w:rsidRDefault="00D72C93" w:rsidP="002D6989">
      <w:r>
        <w:t>Credentials, sensitive</w:t>
      </w:r>
      <w:r w:rsidR="00EC5959">
        <w:t xml:space="preserve"> or privileged</w:t>
      </w:r>
      <w:r>
        <w:t xml:space="preserve"> information, and data that is subject to frequent change</w:t>
      </w:r>
      <w:r w:rsidR="00D624FE">
        <w:t xml:space="preserve"> shall not be stored in the Source. This information includes, but is not limited to:</w:t>
      </w:r>
    </w:p>
    <w:p w14:paraId="55D9299B" w14:textId="77777777" w:rsidR="002D6989" w:rsidRDefault="002D6989" w:rsidP="00C46DB4">
      <w:pPr>
        <w:pStyle w:val="ListParagraph"/>
        <w:numPr>
          <w:ilvl w:val="0"/>
          <w:numId w:val="7"/>
        </w:numPr>
      </w:pPr>
      <w:r>
        <w:t>Usernames</w:t>
      </w:r>
    </w:p>
    <w:p w14:paraId="5020CAA3" w14:textId="732B0E86" w:rsidR="00C46DB4" w:rsidRDefault="00C46DB4" w:rsidP="002D6989">
      <w:pPr>
        <w:pStyle w:val="ListParagraph"/>
        <w:numPr>
          <w:ilvl w:val="0"/>
          <w:numId w:val="7"/>
        </w:numPr>
      </w:pPr>
      <w:r>
        <w:t>Passwords</w:t>
      </w:r>
    </w:p>
    <w:p w14:paraId="60725088" w14:textId="2FCEA0C8" w:rsidR="00C46DB4" w:rsidRDefault="00C46DB4" w:rsidP="00C46DB4">
      <w:pPr>
        <w:pStyle w:val="ListParagraph"/>
        <w:numPr>
          <w:ilvl w:val="0"/>
          <w:numId w:val="7"/>
        </w:numPr>
      </w:pPr>
      <w:r>
        <w:t xml:space="preserve">Private or public </w:t>
      </w:r>
      <w:r w:rsidR="00F3411C">
        <w:t>k</w:t>
      </w:r>
      <w:r>
        <w:t>eys</w:t>
      </w:r>
    </w:p>
    <w:p w14:paraId="489AA2AF" w14:textId="36231E3C" w:rsidR="00C46DB4" w:rsidRDefault="00C46DB4" w:rsidP="00C46DB4">
      <w:pPr>
        <w:pStyle w:val="ListParagraph"/>
        <w:numPr>
          <w:ilvl w:val="0"/>
          <w:numId w:val="7"/>
        </w:numPr>
      </w:pPr>
      <w:r>
        <w:t>Certificates</w:t>
      </w:r>
    </w:p>
    <w:p w14:paraId="39C93EE7" w14:textId="13580969" w:rsidR="00C46DB4" w:rsidRDefault="00C46DB4" w:rsidP="00C46DB4">
      <w:pPr>
        <w:pStyle w:val="ListParagraph"/>
        <w:numPr>
          <w:ilvl w:val="0"/>
          <w:numId w:val="7"/>
        </w:numPr>
      </w:pPr>
      <w:r>
        <w:t>Tokens</w:t>
      </w:r>
    </w:p>
    <w:p w14:paraId="166E7EA1" w14:textId="15ACC8DB" w:rsidR="00C46DB4" w:rsidRDefault="00C46DB4" w:rsidP="00C46DB4">
      <w:pPr>
        <w:pStyle w:val="ListParagraph"/>
        <w:numPr>
          <w:ilvl w:val="0"/>
          <w:numId w:val="7"/>
        </w:numPr>
      </w:pPr>
      <w:r>
        <w:t>Client Identifiers</w:t>
      </w:r>
    </w:p>
    <w:p w14:paraId="082AE982" w14:textId="6A22B555" w:rsidR="00C46DB4" w:rsidRDefault="00C46DB4" w:rsidP="00C46DB4">
      <w:pPr>
        <w:pStyle w:val="ListParagraph"/>
        <w:numPr>
          <w:ilvl w:val="0"/>
          <w:numId w:val="7"/>
        </w:numPr>
      </w:pPr>
      <w:r>
        <w:t>E-mail addresses</w:t>
      </w:r>
    </w:p>
    <w:p w14:paraId="68C322FF" w14:textId="4F2C0E36" w:rsidR="002E5B01" w:rsidRDefault="002E5B01" w:rsidP="00C46DB4">
      <w:pPr>
        <w:pStyle w:val="ListParagraph"/>
        <w:numPr>
          <w:ilvl w:val="0"/>
          <w:numId w:val="7"/>
        </w:numPr>
      </w:pPr>
      <w:r>
        <w:t xml:space="preserve">Server addresses (hostnames, IP addresses, </w:t>
      </w:r>
      <w:r w:rsidR="00F3411C">
        <w:t>aliases)</w:t>
      </w:r>
    </w:p>
    <w:p w14:paraId="07558DE7" w14:textId="069BBC59" w:rsidR="00FF4F8B" w:rsidRDefault="00A05C98" w:rsidP="00C46DB4">
      <w:pPr>
        <w:pStyle w:val="ListParagraph"/>
        <w:numPr>
          <w:ilvl w:val="0"/>
          <w:numId w:val="7"/>
        </w:numPr>
      </w:pPr>
      <w:r>
        <w:t>File or directory paths</w:t>
      </w:r>
    </w:p>
    <w:p w14:paraId="4022F94F" w14:textId="39F5DBA2" w:rsidR="00C46DB4" w:rsidRDefault="00C46DB4" w:rsidP="00C46DB4">
      <w:pPr>
        <w:pStyle w:val="ListParagraph"/>
        <w:numPr>
          <w:ilvl w:val="0"/>
          <w:numId w:val="7"/>
        </w:numPr>
      </w:pPr>
      <w:r>
        <w:t>Phone numbers</w:t>
      </w:r>
    </w:p>
    <w:p w14:paraId="01B3DC83" w14:textId="1CF89D4A" w:rsidR="00C46DB4" w:rsidRDefault="002E5B01" w:rsidP="002D6989">
      <w:pPr>
        <w:pStyle w:val="ListParagraph"/>
        <w:numPr>
          <w:ilvl w:val="0"/>
          <w:numId w:val="7"/>
        </w:numPr>
      </w:pPr>
      <w:r>
        <w:t>Individual or business names</w:t>
      </w:r>
    </w:p>
    <w:p w14:paraId="4D9E37B2" w14:textId="5FE8E770" w:rsidR="00D72C93" w:rsidRDefault="00EC5959">
      <w:r>
        <w:t xml:space="preserve">If such information is required for the operation of the Application, </w:t>
      </w:r>
      <w:r w:rsidR="00B87D5E">
        <w:t xml:space="preserve">the </w:t>
      </w:r>
      <w:r w:rsidR="6FBB99B6">
        <w:t xml:space="preserve">Department of Environmental Protection </w:t>
      </w:r>
      <w:r w:rsidR="00B87D5E">
        <w:t>(DEP)</w:t>
      </w:r>
      <w:r w:rsidR="00E93BC3">
        <w:t xml:space="preserve"> </w:t>
      </w:r>
      <w:r>
        <w:t xml:space="preserve">will provide a means by which the information may be obtained from a secure location by the Application at startup </w:t>
      </w:r>
      <w:r w:rsidR="00E46492">
        <w:t>and/</w:t>
      </w:r>
      <w:r>
        <w:t>or at runtime.</w:t>
      </w:r>
    </w:p>
    <w:p w14:paraId="5600EE2A" w14:textId="3FF29554" w:rsidR="00E46492" w:rsidRDefault="00F66DFB" w:rsidP="00E46492">
      <w:pPr>
        <w:pStyle w:val="Heading2"/>
      </w:pPr>
      <w:bookmarkStart w:id="2" w:name="_Toc119424454"/>
      <w:r>
        <w:t>Prohibited Components and Frameworks</w:t>
      </w:r>
      <w:bookmarkEnd w:id="2"/>
    </w:p>
    <w:p w14:paraId="7293F72F" w14:textId="739EB6D3" w:rsidR="00E46492" w:rsidRDefault="00F66DFB" w:rsidP="00E46492">
      <w:r>
        <w:t xml:space="preserve">No Application shall make use of any </w:t>
      </w:r>
      <w:r w:rsidR="002656B1">
        <w:t xml:space="preserve">Third-Party </w:t>
      </w:r>
      <w:r>
        <w:t>Component or Framework which has passed its End of Life or Support as declared by its author, will reach its End of Life or Support as declared by its author within two (2)</w:t>
      </w:r>
      <w:r w:rsidR="002656B1">
        <w:t xml:space="preserve"> years</w:t>
      </w:r>
      <w:r>
        <w:t xml:space="preserve"> of its time of inclusion in the Application, or has become defunct by absence of </w:t>
      </w:r>
      <w:r>
        <w:lastRenderedPageBreak/>
        <w:t xml:space="preserve">maintenance by its author within </w:t>
      </w:r>
      <w:r w:rsidR="00CE6089">
        <w:t>six</w:t>
      </w:r>
      <w:r>
        <w:t xml:space="preserve"> (</w:t>
      </w:r>
      <w:r w:rsidR="00CE6089">
        <w:t>6</w:t>
      </w:r>
      <w:r>
        <w:t>) months of its time of inclusion in the Application.</w:t>
      </w:r>
      <w:r w:rsidR="00D827F5">
        <w:t xml:space="preserve"> Maintenance may include responding to issue reports</w:t>
      </w:r>
      <w:r w:rsidR="003A5A18">
        <w:t xml:space="preserve">, communications of intent to release updates to the </w:t>
      </w:r>
      <w:r w:rsidR="00EA075A">
        <w:t xml:space="preserve">product, </w:t>
      </w:r>
      <w:r w:rsidR="00CF1CDF">
        <w:t>or updates to the product.</w:t>
      </w:r>
    </w:p>
    <w:p w14:paraId="06EF50E1" w14:textId="2F2CF635" w:rsidR="00F66DFB" w:rsidRPr="00E46492" w:rsidRDefault="003F6BE6" w:rsidP="00E46492">
      <w:r>
        <w:t>N</w:t>
      </w:r>
      <w:r w:rsidR="00F66DFB">
        <w:t xml:space="preserve">o Application shall make use of any </w:t>
      </w:r>
      <w:r w:rsidR="002656B1">
        <w:t xml:space="preserve">Third-Party </w:t>
      </w:r>
      <w:r w:rsidR="00F66DFB">
        <w:t>Component</w:t>
      </w:r>
      <w:r w:rsidR="002656B1">
        <w:t>,</w:t>
      </w:r>
      <w:r w:rsidR="00F66DFB">
        <w:t xml:space="preserve"> Framework</w:t>
      </w:r>
      <w:r w:rsidR="002656B1">
        <w:t>, or Service</w:t>
      </w:r>
      <w:r w:rsidR="00F66DFB">
        <w:t xml:space="preserve"> that </w:t>
      </w:r>
      <w:r>
        <w:t xml:space="preserve">has not reached Maturity </w:t>
      </w:r>
      <w:r w:rsidR="289293E6">
        <w:t xml:space="preserve">or has been properly licensed </w:t>
      </w:r>
      <w:r w:rsidR="374AFCF2">
        <w:t>without</w:t>
      </w:r>
      <w:r>
        <w:t xml:space="preserve"> prior approval from DEP.</w:t>
      </w:r>
    </w:p>
    <w:p w14:paraId="0E9C942D" w14:textId="101A03E2" w:rsidR="00EC5959" w:rsidRDefault="00EC5959" w:rsidP="00DC24A5">
      <w:pPr>
        <w:pStyle w:val="Heading2"/>
      </w:pPr>
      <w:bookmarkStart w:id="3" w:name="_Toc119424455"/>
      <w:r>
        <w:t>Third</w:t>
      </w:r>
      <w:r w:rsidR="00DC24A5">
        <w:t>-</w:t>
      </w:r>
      <w:r>
        <w:t>Party Components</w:t>
      </w:r>
      <w:bookmarkEnd w:id="3"/>
    </w:p>
    <w:p w14:paraId="39692224" w14:textId="32ECC7CA" w:rsidR="00EC5959" w:rsidRDefault="00DC24A5">
      <w:r>
        <w:t>The usage of any Third-Party Components shall require approval by DEP prior to the deployment of the Application to any DEP service, server, or device, and prior to the connection of the Application to any DEP service, server, or device.</w:t>
      </w:r>
    </w:p>
    <w:p w14:paraId="4039B33D" w14:textId="25B48EC0" w:rsidR="00DC24A5" w:rsidRDefault="00DC24A5">
      <w:r>
        <w:t xml:space="preserve">At no time shall any </w:t>
      </w:r>
      <w:r w:rsidR="00E46492">
        <w:t>C</w:t>
      </w:r>
      <w:r>
        <w:t>omponent</w:t>
      </w:r>
      <w:r w:rsidR="004771D0">
        <w:t xml:space="preserve"> </w:t>
      </w:r>
      <w:r>
        <w:t xml:space="preserve">licensed under the </w:t>
      </w:r>
      <w:r w:rsidRPr="00DC24A5">
        <w:t>GNU Affero General Public License</w:t>
      </w:r>
      <w:r w:rsidR="00CC482D">
        <w:t xml:space="preserve"> (AGPL)</w:t>
      </w:r>
      <w:r>
        <w:t xml:space="preserve"> or equivalent “copyleft” licenses be used </w:t>
      </w:r>
      <w:r w:rsidR="004771D0">
        <w:t xml:space="preserve">in </w:t>
      </w:r>
      <w:r>
        <w:t>any Application.</w:t>
      </w:r>
    </w:p>
    <w:p w14:paraId="781503C8" w14:textId="670306AB" w:rsidR="00E46492" w:rsidRDefault="00E46492">
      <w:r>
        <w:t>It is understood that the usage of a Component with known security vulnerabilities may occasionally be necessary. If such usage is unavoidable, DEP shall, in its sole discretion, determine whether the usage of the Component shall be permitted.</w:t>
      </w:r>
    </w:p>
    <w:p w14:paraId="7A23B0F3" w14:textId="1BDFA9FC" w:rsidR="00E46492" w:rsidRDefault="00E46492">
      <w:r>
        <w:t>It is understood that the usage of non-free Components may occasionally be necessary. The usage of non-free Components shall require approval by DEP prior to their inclusion in the Application at any point in the Application’s development.</w:t>
      </w:r>
    </w:p>
    <w:p w14:paraId="6DC44B57" w14:textId="2D2BD404" w:rsidR="00DC24A5" w:rsidRDefault="00DC24A5">
      <w:r>
        <w:t xml:space="preserve">A full manifest of all Third-Party Components shall be provided to DEP for review upon request. </w:t>
      </w:r>
      <w:r w:rsidR="000A4813">
        <w:t>The</w:t>
      </w:r>
      <w:r>
        <w:t xml:space="preserve"> manifest shall include:</w:t>
      </w:r>
    </w:p>
    <w:p w14:paraId="4CABAA9F" w14:textId="33578AF7" w:rsidR="00DC24A5" w:rsidRDefault="00DC24A5" w:rsidP="00DC24A5">
      <w:pPr>
        <w:pStyle w:val="ListParagraph"/>
        <w:numPr>
          <w:ilvl w:val="0"/>
          <w:numId w:val="1"/>
        </w:numPr>
      </w:pPr>
      <w:r>
        <w:t>The common name of the Component</w:t>
      </w:r>
    </w:p>
    <w:p w14:paraId="28338A17" w14:textId="49101CB2" w:rsidR="00DC24A5" w:rsidRDefault="00DC24A5" w:rsidP="00DC24A5">
      <w:pPr>
        <w:pStyle w:val="ListParagraph"/>
        <w:numPr>
          <w:ilvl w:val="0"/>
          <w:numId w:val="1"/>
        </w:numPr>
      </w:pPr>
      <w:r>
        <w:t>The version of the Component</w:t>
      </w:r>
    </w:p>
    <w:p w14:paraId="3480661F" w14:textId="3ADB94E5" w:rsidR="00DC24A5" w:rsidRDefault="00DC24A5" w:rsidP="00DC24A5">
      <w:pPr>
        <w:pStyle w:val="ListParagraph"/>
        <w:numPr>
          <w:ilvl w:val="0"/>
          <w:numId w:val="1"/>
        </w:numPr>
      </w:pPr>
      <w:r>
        <w:t xml:space="preserve">The </w:t>
      </w:r>
      <w:r w:rsidR="00E46492">
        <w:t>author of the Component</w:t>
      </w:r>
    </w:p>
    <w:p w14:paraId="14EBEE6F" w14:textId="460625E8" w:rsidR="00E46492" w:rsidRDefault="00E46492" w:rsidP="00DC24A5">
      <w:pPr>
        <w:pStyle w:val="ListParagraph"/>
        <w:numPr>
          <w:ilvl w:val="0"/>
          <w:numId w:val="1"/>
        </w:numPr>
      </w:pPr>
      <w:r>
        <w:t xml:space="preserve">The name of the license under which the Component is distributed </w:t>
      </w:r>
      <w:r w:rsidRPr="00E46492">
        <w:t>for the version of the component provided in the manifest</w:t>
      </w:r>
    </w:p>
    <w:p w14:paraId="273C43A7" w14:textId="43237DCE" w:rsidR="00E46492" w:rsidRDefault="00E46492" w:rsidP="00DC24A5">
      <w:pPr>
        <w:pStyle w:val="ListParagraph"/>
        <w:numPr>
          <w:ilvl w:val="0"/>
          <w:numId w:val="1"/>
        </w:numPr>
      </w:pPr>
      <w:r>
        <w:t>The inclusion mechanism of the Component (e.g.</w:t>
      </w:r>
      <w:r w:rsidR="00F66DFB">
        <w:t>,</w:t>
      </w:r>
      <w:r>
        <w:t xml:space="preserve"> Maven, NPM,</w:t>
      </w:r>
      <w:r w:rsidR="00D63CC9">
        <w:t xml:space="preserve"> Composer,</w:t>
      </w:r>
      <w:r>
        <w:t xml:space="preserve"> et</w:t>
      </w:r>
      <w:r w:rsidR="00F66DFB">
        <w:t>c.</w:t>
      </w:r>
      <w:r>
        <w:t>)</w:t>
      </w:r>
    </w:p>
    <w:p w14:paraId="29F36116" w14:textId="3C2F4987" w:rsidR="00E46492" w:rsidRDefault="000A4813" w:rsidP="000A4813">
      <w:pPr>
        <w:pStyle w:val="Heading2"/>
      </w:pPr>
      <w:bookmarkStart w:id="4" w:name="_Toc119424456"/>
      <w:r>
        <w:t>Third-Party Services</w:t>
      </w:r>
      <w:bookmarkEnd w:id="4"/>
    </w:p>
    <w:p w14:paraId="7D249CEA" w14:textId="7135036C" w:rsidR="00CF64BF" w:rsidRDefault="000A4813" w:rsidP="00E46492">
      <w:r>
        <w:t xml:space="preserve">No Application shall make any connections to </w:t>
      </w:r>
      <w:r w:rsidR="002656B1">
        <w:t xml:space="preserve">any </w:t>
      </w:r>
      <w:r>
        <w:t>Third-Party Service by any mechanism without prior approval by DEP.</w:t>
      </w:r>
    </w:p>
    <w:p w14:paraId="19D13641" w14:textId="77777777" w:rsidR="00CF64BF" w:rsidRDefault="00CF64BF">
      <w:r>
        <w:br w:type="page"/>
      </w:r>
    </w:p>
    <w:p w14:paraId="4F1BD12B" w14:textId="169A1A22" w:rsidR="00F46002" w:rsidRDefault="009C38E7" w:rsidP="009C38E7">
      <w:pPr>
        <w:pStyle w:val="Heading2"/>
      </w:pPr>
      <w:bookmarkStart w:id="5" w:name="_Toc119424457"/>
      <w:r>
        <w:lastRenderedPageBreak/>
        <w:t>Style and Conventions</w:t>
      </w:r>
      <w:bookmarkEnd w:id="5"/>
    </w:p>
    <w:p w14:paraId="534D8024" w14:textId="77777777" w:rsidR="009C38E7" w:rsidRDefault="009C38E7" w:rsidP="009C38E7">
      <w:pPr>
        <w:pStyle w:val="Heading3"/>
      </w:pPr>
      <w:bookmarkStart w:id="6" w:name="_Toc119424458"/>
      <w:r>
        <w:t>Naming: Packages and Directories</w:t>
      </w:r>
      <w:bookmarkEnd w:id="6"/>
    </w:p>
    <w:p w14:paraId="5F39C13D" w14:textId="77777777" w:rsidR="009C38E7" w:rsidRDefault="009C38E7" w:rsidP="009C38E7">
      <w:r>
        <w:t>For applications written in languages that make use of namespaces, packages, or other hierarchical grouping methodologies, the hierarchy of names must follow this convention:</w:t>
      </w:r>
    </w:p>
    <w:tbl>
      <w:tblPr>
        <w:tblStyle w:val="TableGrid"/>
        <w:tblW w:w="0" w:type="auto"/>
        <w:tblLook w:val="04A0" w:firstRow="1" w:lastRow="0" w:firstColumn="1" w:lastColumn="0" w:noHBand="0" w:noVBand="1"/>
      </w:tblPr>
      <w:tblGrid>
        <w:gridCol w:w="645"/>
        <w:gridCol w:w="1249"/>
        <w:gridCol w:w="1862"/>
        <w:gridCol w:w="1819"/>
        <w:gridCol w:w="1260"/>
      </w:tblGrid>
      <w:tr w:rsidR="009C38E7" w:rsidRPr="000E2725" w14:paraId="0450BE8B" w14:textId="77777777" w:rsidTr="00F979CD">
        <w:tc>
          <w:tcPr>
            <w:tcW w:w="645" w:type="dxa"/>
            <w:tcBorders>
              <w:bottom w:val="single" w:sz="4" w:space="0" w:color="auto"/>
              <w:right w:val="single" w:sz="4" w:space="0" w:color="auto"/>
            </w:tcBorders>
          </w:tcPr>
          <w:p w14:paraId="45B7367F" w14:textId="77777777" w:rsidR="009C38E7" w:rsidRPr="000E2725" w:rsidRDefault="009C38E7" w:rsidP="00F979CD">
            <w:pPr>
              <w:rPr>
                <w:sz w:val="18"/>
                <w:szCs w:val="18"/>
              </w:rPr>
            </w:pPr>
            <w:r w:rsidRPr="000E2725">
              <w:rPr>
                <w:sz w:val="18"/>
                <w:szCs w:val="18"/>
              </w:rPr>
              <w:t>gov</w:t>
            </w:r>
          </w:p>
        </w:tc>
        <w:tc>
          <w:tcPr>
            <w:tcW w:w="1249" w:type="dxa"/>
            <w:tcBorders>
              <w:top w:val="nil"/>
              <w:left w:val="single" w:sz="4" w:space="0" w:color="auto"/>
              <w:bottom w:val="single" w:sz="4" w:space="0" w:color="auto"/>
              <w:right w:val="nil"/>
            </w:tcBorders>
          </w:tcPr>
          <w:p w14:paraId="20B29136" w14:textId="77777777" w:rsidR="009C38E7" w:rsidRPr="000E2725" w:rsidRDefault="009C38E7" w:rsidP="00F979CD">
            <w:pPr>
              <w:rPr>
                <w:sz w:val="18"/>
                <w:szCs w:val="18"/>
              </w:rPr>
            </w:pPr>
          </w:p>
        </w:tc>
        <w:tc>
          <w:tcPr>
            <w:tcW w:w="1862" w:type="dxa"/>
            <w:tcBorders>
              <w:top w:val="nil"/>
              <w:left w:val="nil"/>
              <w:bottom w:val="nil"/>
              <w:right w:val="nil"/>
            </w:tcBorders>
          </w:tcPr>
          <w:p w14:paraId="7D798DBE" w14:textId="77777777" w:rsidR="009C38E7" w:rsidRPr="000E2725" w:rsidRDefault="009C38E7" w:rsidP="00F979CD">
            <w:pPr>
              <w:rPr>
                <w:sz w:val="18"/>
                <w:szCs w:val="18"/>
              </w:rPr>
            </w:pPr>
          </w:p>
        </w:tc>
        <w:tc>
          <w:tcPr>
            <w:tcW w:w="1819" w:type="dxa"/>
            <w:tcBorders>
              <w:top w:val="nil"/>
              <w:left w:val="nil"/>
              <w:bottom w:val="nil"/>
              <w:right w:val="nil"/>
            </w:tcBorders>
          </w:tcPr>
          <w:p w14:paraId="3B3FBD04" w14:textId="77777777" w:rsidR="009C38E7" w:rsidRPr="000E2725" w:rsidRDefault="009C38E7" w:rsidP="00F979CD">
            <w:pPr>
              <w:rPr>
                <w:sz w:val="18"/>
                <w:szCs w:val="18"/>
              </w:rPr>
            </w:pPr>
          </w:p>
        </w:tc>
        <w:tc>
          <w:tcPr>
            <w:tcW w:w="1260" w:type="dxa"/>
            <w:tcBorders>
              <w:top w:val="nil"/>
              <w:left w:val="nil"/>
              <w:bottom w:val="nil"/>
              <w:right w:val="nil"/>
            </w:tcBorders>
          </w:tcPr>
          <w:p w14:paraId="17431A32" w14:textId="77777777" w:rsidR="009C38E7" w:rsidRPr="000E2725" w:rsidRDefault="009C38E7" w:rsidP="00F979CD">
            <w:pPr>
              <w:rPr>
                <w:sz w:val="18"/>
                <w:szCs w:val="18"/>
              </w:rPr>
            </w:pPr>
          </w:p>
        </w:tc>
      </w:tr>
      <w:tr w:rsidR="009C38E7" w:rsidRPr="000E2725" w14:paraId="6AF5BAB6" w14:textId="77777777" w:rsidTr="00F979CD">
        <w:tc>
          <w:tcPr>
            <w:tcW w:w="645" w:type="dxa"/>
            <w:tcBorders>
              <w:top w:val="single" w:sz="4" w:space="0" w:color="auto"/>
              <w:left w:val="nil"/>
              <w:bottom w:val="nil"/>
              <w:right w:val="single" w:sz="4" w:space="0" w:color="auto"/>
            </w:tcBorders>
          </w:tcPr>
          <w:p w14:paraId="28AA8DD3" w14:textId="77777777" w:rsidR="009C38E7" w:rsidRPr="000E2725" w:rsidRDefault="009C38E7" w:rsidP="00F979CD">
            <w:pPr>
              <w:rPr>
                <w:sz w:val="18"/>
                <w:szCs w:val="18"/>
              </w:rPr>
            </w:pPr>
          </w:p>
        </w:tc>
        <w:tc>
          <w:tcPr>
            <w:tcW w:w="1249" w:type="dxa"/>
            <w:tcBorders>
              <w:top w:val="single" w:sz="4" w:space="0" w:color="auto"/>
              <w:left w:val="single" w:sz="4" w:space="0" w:color="auto"/>
              <w:bottom w:val="single" w:sz="4" w:space="0" w:color="auto"/>
              <w:right w:val="single" w:sz="4" w:space="0" w:color="auto"/>
            </w:tcBorders>
          </w:tcPr>
          <w:p w14:paraId="320F9B64" w14:textId="77777777" w:rsidR="009C38E7" w:rsidRPr="000E2725" w:rsidRDefault="009C38E7" w:rsidP="00F979CD">
            <w:pPr>
              <w:rPr>
                <w:sz w:val="18"/>
                <w:szCs w:val="18"/>
              </w:rPr>
            </w:pPr>
            <w:r w:rsidRPr="000E2725">
              <w:rPr>
                <w:sz w:val="18"/>
                <w:szCs w:val="18"/>
              </w:rPr>
              <w:t>floridadep</w:t>
            </w:r>
          </w:p>
        </w:tc>
        <w:tc>
          <w:tcPr>
            <w:tcW w:w="1862" w:type="dxa"/>
            <w:tcBorders>
              <w:top w:val="nil"/>
              <w:left w:val="single" w:sz="4" w:space="0" w:color="auto"/>
              <w:bottom w:val="single" w:sz="4" w:space="0" w:color="auto"/>
              <w:right w:val="nil"/>
            </w:tcBorders>
          </w:tcPr>
          <w:p w14:paraId="1BC90699" w14:textId="77777777" w:rsidR="009C38E7" w:rsidRPr="000E2725" w:rsidRDefault="009C38E7" w:rsidP="00F979CD">
            <w:pPr>
              <w:rPr>
                <w:sz w:val="18"/>
                <w:szCs w:val="18"/>
              </w:rPr>
            </w:pPr>
          </w:p>
        </w:tc>
        <w:tc>
          <w:tcPr>
            <w:tcW w:w="1819" w:type="dxa"/>
            <w:tcBorders>
              <w:top w:val="nil"/>
              <w:left w:val="nil"/>
              <w:bottom w:val="nil"/>
              <w:right w:val="nil"/>
            </w:tcBorders>
          </w:tcPr>
          <w:p w14:paraId="0A0EE910" w14:textId="77777777" w:rsidR="009C38E7" w:rsidRPr="000E2725" w:rsidRDefault="009C38E7" w:rsidP="00F979CD">
            <w:pPr>
              <w:rPr>
                <w:sz w:val="18"/>
                <w:szCs w:val="18"/>
              </w:rPr>
            </w:pPr>
          </w:p>
        </w:tc>
        <w:tc>
          <w:tcPr>
            <w:tcW w:w="1260" w:type="dxa"/>
            <w:tcBorders>
              <w:top w:val="nil"/>
              <w:left w:val="nil"/>
              <w:bottom w:val="nil"/>
              <w:right w:val="nil"/>
            </w:tcBorders>
          </w:tcPr>
          <w:p w14:paraId="790FB73E" w14:textId="77777777" w:rsidR="009C38E7" w:rsidRPr="000E2725" w:rsidRDefault="009C38E7" w:rsidP="00F979CD">
            <w:pPr>
              <w:rPr>
                <w:sz w:val="18"/>
                <w:szCs w:val="18"/>
              </w:rPr>
            </w:pPr>
          </w:p>
        </w:tc>
      </w:tr>
      <w:tr w:rsidR="009C38E7" w:rsidRPr="000E2725" w14:paraId="1D1F485B" w14:textId="77777777" w:rsidTr="00F979CD">
        <w:tc>
          <w:tcPr>
            <w:tcW w:w="645" w:type="dxa"/>
            <w:tcBorders>
              <w:top w:val="nil"/>
              <w:left w:val="nil"/>
              <w:bottom w:val="nil"/>
              <w:right w:val="nil"/>
            </w:tcBorders>
          </w:tcPr>
          <w:p w14:paraId="7008B540" w14:textId="77777777" w:rsidR="009C38E7" w:rsidRPr="000E2725" w:rsidRDefault="009C38E7" w:rsidP="00F979CD">
            <w:pPr>
              <w:rPr>
                <w:sz w:val="18"/>
                <w:szCs w:val="18"/>
              </w:rPr>
            </w:pPr>
          </w:p>
        </w:tc>
        <w:tc>
          <w:tcPr>
            <w:tcW w:w="1249" w:type="dxa"/>
            <w:tcBorders>
              <w:top w:val="single" w:sz="4" w:space="0" w:color="auto"/>
              <w:left w:val="nil"/>
              <w:bottom w:val="nil"/>
              <w:right w:val="single" w:sz="4" w:space="0" w:color="auto"/>
            </w:tcBorders>
          </w:tcPr>
          <w:p w14:paraId="191E5010" w14:textId="77777777" w:rsidR="009C38E7" w:rsidRPr="000E2725" w:rsidRDefault="009C38E7" w:rsidP="00F979CD">
            <w:pPr>
              <w:rPr>
                <w:sz w:val="18"/>
                <w:szCs w:val="18"/>
              </w:rPr>
            </w:pPr>
          </w:p>
        </w:tc>
        <w:tc>
          <w:tcPr>
            <w:tcW w:w="1862" w:type="dxa"/>
            <w:tcBorders>
              <w:top w:val="single" w:sz="4" w:space="0" w:color="auto"/>
              <w:left w:val="single" w:sz="4" w:space="0" w:color="auto"/>
              <w:bottom w:val="single" w:sz="4" w:space="0" w:color="auto"/>
              <w:right w:val="single" w:sz="4" w:space="0" w:color="auto"/>
            </w:tcBorders>
          </w:tcPr>
          <w:p w14:paraId="3AF23A5F" w14:textId="77777777" w:rsidR="009C38E7" w:rsidRPr="000E2725" w:rsidRDefault="009C38E7" w:rsidP="00F979CD">
            <w:pPr>
              <w:rPr>
                <w:sz w:val="18"/>
                <w:szCs w:val="18"/>
              </w:rPr>
            </w:pPr>
            <w:r w:rsidRPr="000E2725">
              <w:rPr>
                <w:sz w:val="18"/>
                <w:szCs w:val="18"/>
              </w:rPr>
              <w:t>Division acronym</w:t>
            </w:r>
          </w:p>
        </w:tc>
        <w:tc>
          <w:tcPr>
            <w:tcW w:w="1819" w:type="dxa"/>
            <w:tcBorders>
              <w:top w:val="nil"/>
              <w:left w:val="single" w:sz="4" w:space="0" w:color="auto"/>
              <w:bottom w:val="single" w:sz="4" w:space="0" w:color="auto"/>
              <w:right w:val="nil"/>
            </w:tcBorders>
          </w:tcPr>
          <w:p w14:paraId="79B63011" w14:textId="77777777" w:rsidR="009C38E7" w:rsidRPr="000E2725" w:rsidRDefault="009C38E7" w:rsidP="00F979CD">
            <w:pPr>
              <w:rPr>
                <w:sz w:val="18"/>
                <w:szCs w:val="18"/>
              </w:rPr>
            </w:pPr>
          </w:p>
        </w:tc>
        <w:tc>
          <w:tcPr>
            <w:tcW w:w="1260" w:type="dxa"/>
            <w:tcBorders>
              <w:top w:val="nil"/>
              <w:left w:val="nil"/>
              <w:bottom w:val="nil"/>
              <w:right w:val="nil"/>
            </w:tcBorders>
          </w:tcPr>
          <w:p w14:paraId="5D5EE90C" w14:textId="77777777" w:rsidR="009C38E7" w:rsidRPr="000E2725" w:rsidRDefault="009C38E7" w:rsidP="00F979CD">
            <w:pPr>
              <w:rPr>
                <w:sz w:val="18"/>
                <w:szCs w:val="18"/>
              </w:rPr>
            </w:pPr>
          </w:p>
        </w:tc>
      </w:tr>
      <w:tr w:rsidR="009C38E7" w:rsidRPr="000E2725" w14:paraId="61654A5B" w14:textId="77777777" w:rsidTr="00F979CD">
        <w:tc>
          <w:tcPr>
            <w:tcW w:w="645" w:type="dxa"/>
            <w:tcBorders>
              <w:top w:val="nil"/>
              <w:left w:val="nil"/>
              <w:bottom w:val="nil"/>
              <w:right w:val="nil"/>
            </w:tcBorders>
          </w:tcPr>
          <w:p w14:paraId="54277A1D" w14:textId="77777777" w:rsidR="009C38E7" w:rsidRPr="000E2725" w:rsidRDefault="009C38E7" w:rsidP="00F979CD">
            <w:pPr>
              <w:rPr>
                <w:sz w:val="18"/>
                <w:szCs w:val="18"/>
              </w:rPr>
            </w:pPr>
          </w:p>
        </w:tc>
        <w:tc>
          <w:tcPr>
            <w:tcW w:w="1249" w:type="dxa"/>
            <w:tcBorders>
              <w:top w:val="nil"/>
              <w:left w:val="nil"/>
              <w:bottom w:val="nil"/>
              <w:right w:val="nil"/>
            </w:tcBorders>
          </w:tcPr>
          <w:p w14:paraId="09848713" w14:textId="77777777" w:rsidR="009C38E7" w:rsidRPr="000E2725" w:rsidRDefault="009C38E7" w:rsidP="00F979CD">
            <w:pPr>
              <w:rPr>
                <w:sz w:val="18"/>
                <w:szCs w:val="18"/>
              </w:rPr>
            </w:pPr>
          </w:p>
        </w:tc>
        <w:tc>
          <w:tcPr>
            <w:tcW w:w="1862" w:type="dxa"/>
            <w:tcBorders>
              <w:top w:val="single" w:sz="4" w:space="0" w:color="auto"/>
              <w:left w:val="nil"/>
              <w:bottom w:val="nil"/>
              <w:right w:val="single" w:sz="4" w:space="0" w:color="auto"/>
            </w:tcBorders>
          </w:tcPr>
          <w:p w14:paraId="3C3EA3E4" w14:textId="77777777" w:rsidR="009C38E7" w:rsidRPr="000E2725" w:rsidRDefault="009C38E7" w:rsidP="00F979CD">
            <w:pPr>
              <w:rPr>
                <w:sz w:val="18"/>
                <w:szCs w:val="18"/>
              </w:rPr>
            </w:pPr>
          </w:p>
        </w:tc>
        <w:tc>
          <w:tcPr>
            <w:tcW w:w="1819" w:type="dxa"/>
            <w:tcBorders>
              <w:top w:val="single" w:sz="4" w:space="0" w:color="auto"/>
              <w:left w:val="single" w:sz="4" w:space="0" w:color="auto"/>
              <w:bottom w:val="single" w:sz="4" w:space="0" w:color="auto"/>
              <w:right w:val="single" w:sz="4" w:space="0" w:color="auto"/>
            </w:tcBorders>
          </w:tcPr>
          <w:p w14:paraId="4A224050" w14:textId="77777777" w:rsidR="009C38E7" w:rsidRPr="000E2725" w:rsidRDefault="009C38E7" w:rsidP="00F979CD">
            <w:pPr>
              <w:rPr>
                <w:sz w:val="18"/>
                <w:szCs w:val="18"/>
              </w:rPr>
            </w:pPr>
            <w:r w:rsidRPr="000E2725">
              <w:rPr>
                <w:sz w:val="18"/>
                <w:szCs w:val="18"/>
              </w:rPr>
              <w:t>Application name</w:t>
            </w:r>
          </w:p>
        </w:tc>
        <w:tc>
          <w:tcPr>
            <w:tcW w:w="1260" w:type="dxa"/>
            <w:tcBorders>
              <w:top w:val="nil"/>
              <w:left w:val="single" w:sz="4" w:space="0" w:color="auto"/>
              <w:bottom w:val="single" w:sz="4" w:space="0" w:color="auto"/>
              <w:right w:val="nil"/>
            </w:tcBorders>
          </w:tcPr>
          <w:p w14:paraId="1F0A18C7" w14:textId="77777777" w:rsidR="009C38E7" w:rsidRPr="000E2725" w:rsidRDefault="009C38E7" w:rsidP="00F979CD">
            <w:pPr>
              <w:rPr>
                <w:sz w:val="18"/>
                <w:szCs w:val="18"/>
              </w:rPr>
            </w:pPr>
          </w:p>
        </w:tc>
      </w:tr>
      <w:tr w:rsidR="009C38E7" w:rsidRPr="000E2725" w14:paraId="49DD3A6F" w14:textId="77777777" w:rsidTr="00F979CD">
        <w:tc>
          <w:tcPr>
            <w:tcW w:w="645" w:type="dxa"/>
            <w:tcBorders>
              <w:top w:val="nil"/>
              <w:left w:val="nil"/>
              <w:bottom w:val="nil"/>
              <w:right w:val="nil"/>
            </w:tcBorders>
          </w:tcPr>
          <w:p w14:paraId="05E26A84" w14:textId="77777777" w:rsidR="009C38E7" w:rsidRPr="000E2725" w:rsidRDefault="009C38E7" w:rsidP="00F979CD">
            <w:pPr>
              <w:rPr>
                <w:sz w:val="18"/>
                <w:szCs w:val="18"/>
              </w:rPr>
            </w:pPr>
          </w:p>
        </w:tc>
        <w:tc>
          <w:tcPr>
            <w:tcW w:w="1249" w:type="dxa"/>
            <w:tcBorders>
              <w:top w:val="nil"/>
              <w:left w:val="nil"/>
              <w:bottom w:val="nil"/>
              <w:right w:val="nil"/>
            </w:tcBorders>
          </w:tcPr>
          <w:p w14:paraId="5A1CFB2E" w14:textId="77777777" w:rsidR="009C38E7" w:rsidRPr="000E2725" w:rsidRDefault="009C38E7" w:rsidP="00F979CD">
            <w:pPr>
              <w:rPr>
                <w:sz w:val="18"/>
                <w:szCs w:val="18"/>
              </w:rPr>
            </w:pPr>
          </w:p>
        </w:tc>
        <w:tc>
          <w:tcPr>
            <w:tcW w:w="1862" w:type="dxa"/>
            <w:tcBorders>
              <w:top w:val="nil"/>
              <w:left w:val="nil"/>
              <w:bottom w:val="nil"/>
              <w:right w:val="nil"/>
            </w:tcBorders>
          </w:tcPr>
          <w:p w14:paraId="24DCFA84" w14:textId="77777777" w:rsidR="009C38E7" w:rsidRPr="000E2725" w:rsidRDefault="009C38E7" w:rsidP="00F979CD">
            <w:pPr>
              <w:rPr>
                <w:sz w:val="18"/>
                <w:szCs w:val="18"/>
              </w:rPr>
            </w:pPr>
          </w:p>
        </w:tc>
        <w:tc>
          <w:tcPr>
            <w:tcW w:w="1819" w:type="dxa"/>
            <w:tcBorders>
              <w:top w:val="single" w:sz="4" w:space="0" w:color="auto"/>
              <w:left w:val="nil"/>
              <w:bottom w:val="nil"/>
              <w:right w:val="single" w:sz="4" w:space="0" w:color="auto"/>
            </w:tcBorders>
          </w:tcPr>
          <w:p w14:paraId="4C835585" w14:textId="77777777" w:rsidR="009C38E7" w:rsidRPr="000E2725" w:rsidRDefault="009C38E7" w:rsidP="00F979CD">
            <w:pPr>
              <w:rPr>
                <w:sz w:val="18"/>
                <w:szCs w:val="18"/>
              </w:rPr>
            </w:pPr>
          </w:p>
        </w:tc>
        <w:tc>
          <w:tcPr>
            <w:tcW w:w="1260" w:type="dxa"/>
            <w:tcBorders>
              <w:top w:val="single" w:sz="4" w:space="0" w:color="auto"/>
              <w:left w:val="single" w:sz="4" w:space="0" w:color="auto"/>
              <w:bottom w:val="single" w:sz="4" w:space="0" w:color="auto"/>
            </w:tcBorders>
          </w:tcPr>
          <w:p w14:paraId="6574B8AA" w14:textId="77777777" w:rsidR="009C38E7" w:rsidRPr="000E2725" w:rsidRDefault="009C38E7" w:rsidP="00F979CD">
            <w:pPr>
              <w:rPr>
                <w:sz w:val="18"/>
                <w:szCs w:val="18"/>
              </w:rPr>
            </w:pPr>
            <w:r w:rsidRPr="000E2725">
              <w:rPr>
                <w:sz w:val="18"/>
                <w:szCs w:val="18"/>
              </w:rPr>
              <w:t>services</w:t>
            </w:r>
          </w:p>
        </w:tc>
      </w:tr>
      <w:tr w:rsidR="009C38E7" w:rsidRPr="000E2725" w14:paraId="36EF0C8D" w14:textId="77777777" w:rsidTr="00F979CD">
        <w:tc>
          <w:tcPr>
            <w:tcW w:w="645" w:type="dxa"/>
            <w:tcBorders>
              <w:top w:val="nil"/>
              <w:left w:val="nil"/>
              <w:bottom w:val="nil"/>
              <w:right w:val="nil"/>
            </w:tcBorders>
          </w:tcPr>
          <w:p w14:paraId="471784A6" w14:textId="77777777" w:rsidR="009C38E7" w:rsidRPr="000E2725" w:rsidRDefault="009C38E7" w:rsidP="00F979CD">
            <w:pPr>
              <w:rPr>
                <w:sz w:val="18"/>
                <w:szCs w:val="18"/>
              </w:rPr>
            </w:pPr>
          </w:p>
        </w:tc>
        <w:tc>
          <w:tcPr>
            <w:tcW w:w="1249" w:type="dxa"/>
            <w:tcBorders>
              <w:top w:val="nil"/>
              <w:left w:val="nil"/>
              <w:bottom w:val="nil"/>
              <w:right w:val="nil"/>
            </w:tcBorders>
          </w:tcPr>
          <w:p w14:paraId="6C48A35A" w14:textId="77777777" w:rsidR="009C38E7" w:rsidRPr="000E2725" w:rsidRDefault="009C38E7" w:rsidP="00F979CD">
            <w:pPr>
              <w:rPr>
                <w:sz w:val="18"/>
                <w:szCs w:val="18"/>
              </w:rPr>
            </w:pPr>
          </w:p>
        </w:tc>
        <w:tc>
          <w:tcPr>
            <w:tcW w:w="1862" w:type="dxa"/>
            <w:tcBorders>
              <w:top w:val="nil"/>
              <w:left w:val="nil"/>
              <w:bottom w:val="nil"/>
              <w:right w:val="nil"/>
            </w:tcBorders>
          </w:tcPr>
          <w:p w14:paraId="39AFA5BD" w14:textId="77777777" w:rsidR="009C38E7" w:rsidRPr="000E2725" w:rsidRDefault="009C38E7" w:rsidP="00F979CD">
            <w:pPr>
              <w:rPr>
                <w:sz w:val="18"/>
                <w:szCs w:val="18"/>
              </w:rPr>
            </w:pPr>
          </w:p>
        </w:tc>
        <w:tc>
          <w:tcPr>
            <w:tcW w:w="1819" w:type="dxa"/>
            <w:tcBorders>
              <w:top w:val="nil"/>
              <w:left w:val="nil"/>
              <w:bottom w:val="nil"/>
              <w:right w:val="single" w:sz="4" w:space="0" w:color="auto"/>
            </w:tcBorders>
          </w:tcPr>
          <w:p w14:paraId="227608D2" w14:textId="77777777" w:rsidR="009C38E7" w:rsidRPr="000E2725" w:rsidRDefault="009C38E7" w:rsidP="00F979CD">
            <w:pPr>
              <w:rPr>
                <w:sz w:val="18"/>
                <w:szCs w:val="18"/>
              </w:rPr>
            </w:pPr>
          </w:p>
        </w:tc>
        <w:tc>
          <w:tcPr>
            <w:tcW w:w="1260" w:type="dxa"/>
            <w:tcBorders>
              <w:left w:val="single" w:sz="4" w:space="0" w:color="auto"/>
              <w:bottom w:val="single" w:sz="4" w:space="0" w:color="auto"/>
            </w:tcBorders>
          </w:tcPr>
          <w:p w14:paraId="253D2CDE" w14:textId="77777777" w:rsidR="009C38E7" w:rsidRPr="000E2725" w:rsidRDefault="009C38E7" w:rsidP="00F979CD">
            <w:pPr>
              <w:rPr>
                <w:sz w:val="18"/>
                <w:szCs w:val="18"/>
              </w:rPr>
            </w:pPr>
            <w:r w:rsidRPr="000E2725">
              <w:rPr>
                <w:sz w:val="18"/>
                <w:szCs w:val="18"/>
              </w:rPr>
              <w:t>daos</w:t>
            </w:r>
          </w:p>
        </w:tc>
      </w:tr>
      <w:tr w:rsidR="009C38E7" w:rsidRPr="000E2725" w14:paraId="408F9D3A" w14:textId="77777777" w:rsidTr="00F979CD">
        <w:tc>
          <w:tcPr>
            <w:tcW w:w="645" w:type="dxa"/>
            <w:tcBorders>
              <w:top w:val="nil"/>
              <w:left w:val="nil"/>
              <w:bottom w:val="nil"/>
              <w:right w:val="nil"/>
            </w:tcBorders>
          </w:tcPr>
          <w:p w14:paraId="0BC15724" w14:textId="77777777" w:rsidR="009C38E7" w:rsidRPr="000E2725" w:rsidRDefault="009C38E7" w:rsidP="00F979CD">
            <w:pPr>
              <w:rPr>
                <w:sz w:val="18"/>
                <w:szCs w:val="18"/>
              </w:rPr>
            </w:pPr>
          </w:p>
        </w:tc>
        <w:tc>
          <w:tcPr>
            <w:tcW w:w="1249" w:type="dxa"/>
            <w:tcBorders>
              <w:top w:val="nil"/>
              <w:left w:val="nil"/>
              <w:bottom w:val="nil"/>
              <w:right w:val="nil"/>
            </w:tcBorders>
          </w:tcPr>
          <w:p w14:paraId="1338B25C" w14:textId="77777777" w:rsidR="009C38E7" w:rsidRPr="000E2725" w:rsidRDefault="009C38E7" w:rsidP="00F979CD">
            <w:pPr>
              <w:rPr>
                <w:sz w:val="18"/>
                <w:szCs w:val="18"/>
              </w:rPr>
            </w:pPr>
          </w:p>
        </w:tc>
        <w:tc>
          <w:tcPr>
            <w:tcW w:w="1862" w:type="dxa"/>
            <w:tcBorders>
              <w:top w:val="nil"/>
              <w:left w:val="nil"/>
              <w:bottom w:val="nil"/>
              <w:right w:val="nil"/>
            </w:tcBorders>
          </w:tcPr>
          <w:p w14:paraId="011F2255" w14:textId="77777777" w:rsidR="009C38E7" w:rsidRPr="000E2725" w:rsidRDefault="009C38E7" w:rsidP="00F979CD">
            <w:pPr>
              <w:rPr>
                <w:sz w:val="18"/>
                <w:szCs w:val="18"/>
              </w:rPr>
            </w:pPr>
          </w:p>
        </w:tc>
        <w:tc>
          <w:tcPr>
            <w:tcW w:w="1819" w:type="dxa"/>
            <w:tcBorders>
              <w:top w:val="nil"/>
              <w:left w:val="nil"/>
              <w:bottom w:val="nil"/>
              <w:right w:val="single" w:sz="4" w:space="0" w:color="auto"/>
            </w:tcBorders>
          </w:tcPr>
          <w:p w14:paraId="2274BF1E" w14:textId="77777777" w:rsidR="009C38E7" w:rsidRPr="000E2725" w:rsidRDefault="009C38E7" w:rsidP="00F979CD">
            <w:pPr>
              <w:rPr>
                <w:sz w:val="18"/>
                <w:szCs w:val="18"/>
              </w:rPr>
            </w:pPr>
          </w:p>
        </w:tc>
        <w:tc>
          <w:tcPr>
            <w:tcW w:w="1260" w:type="dxa"/>
            <w:tcBorders>
              <w:left w:val="single" w:sz="4" w:space="0" w:color="auto"/>
              <w:bottom w:val="single" w:sz="4" w:space="0" w:color="auto"/>
            </w:tcBorders>
          </w:tcPr>
          <w:p w14:paraId="73D4AA21" w14:textId="77777777" w:rsidR="009C38E7" w:rsidRPr="000E2725" w:rsidRDefault="009C38E7" w:rsidP="00F979CD">
            <w:pPr>
              <w:rPr>
                <w:sz w:val="18"/>
                <w:szCs w:val="18"/>
              </w:rPr>
            </w:pPr>
            <w:r w:rsidRPr="000E2725">
              <w:rPr>
                <w:sz w:val="18"/>
                <w:szCs w:val="18"/>
              </w:rPr>
              <w:t>models</w:t>
            </w:r>
          </w:p>
        </w:tc>
      </w:tr>
      <w:tr w:rsidR="009C38E7" w:rsidRPr="000E2725" w14:paraId="64402FF0" w14:textId="77777777" w:rsidTr="00F979CD">
        <w:tc>
          <w:tcPr>
            <w:tcW w:w="645" w:type="dxa"/>
            <w:tcBorders>
              <w:top w:val="nil"/>
              <w:left w:val="nil"/>
              <w:bottom w:val="nil"/>
              <w:right w:val="nil"/>
            </w:tcBorders>
          </w:tcPr>
          <w:p w14:paraId="608F8539" w14:textId="77777777" w:rsidR="009C38E7" w:rsidRPr="000E2725" w:rsidRDefault="009C38E7" w:rsidP="00F979CD">
            <w:pPr>
              <w:rPr>
                <w:sz w:val="18"/>
                <w:szCs w:val="18"/>
              </w:rPr>
            </w:pPr>
          </w:p>
        </w:tc>
        <w:tc>
          <w:tcPr>
            <w:tcW w:w="1249" w:type="dxa"/>
            <w:tcBorders>
              <w:top w:val="nil"/>
              <w:left w:val="nil"/>
              <w:bottom w:val="nil"/>
              <w:right w:val="nil"/>
            </w:tcBorders>
          </w:tcPr>
          <w:p w14:paraId="7CF6BCA9" w14:textId="77777777" w:rsidR="009C38E7" w:rsidRPr="000E2725" w:rsidRDefault="009C38E7" w:rsidP="00F979CD">
            <w:pPr>
              <w:rPr>
                <w:sz w:val="18"/>
                <w:szCs w:val="18"/>
              </w:rPr>
            </w:pPr>
          </w:p>
        </w:tc>
        <w:tc>
          <w:tcPr>
            <w:tcW w:w="1862" w:type="dxa"/>
            <w:tcBorders>
              <w:top w:val="nil"/>
              <w:left w:val="nil"/>
              <w:bottom w:val="nil"/>
              <w:right w:val="nil"/>
            </w:tcBorders>
          </w:tcPr>
          <w:p w14:paraId="20B0A13F" w14:textId="77777777" w:rsidR="009C38E7" w:rsidRPr="000E2725" w:rsidRDefault="009C38E7" w:rsidP="00F979CD">
            <w:pPr>
              <w:rPr>
                <w:sz w:val="18"/>
                <w:szCs w:val="18"/>
              </w:rPr>
            </w:pPr>
          </w:p>
        </w:tc>
        <w:tc>
          <w:tcPr>
            <w:tcW w:w="1819" w:type="dxa"/>
            <w:tcBorders>
              <w:top w:val="nil"/>
              <w:left w:val="nil"/>
              <w:bottom w:val="nil"/>
              <w:right w:val="single" w:sz="4" w:space="0" w:color="auto"/>
            </w:tcBorders>
          </w:tcPr>
          <w:p w14:paraId="3326BF7C" w14:textId="77777777" w:rsidR="009C38E7" w:rsidRPr="000E2725" w:rsidRDefault="009C38E7" w:rsidP="00F979CD">
            <w:pPr>
              <w:rPr>
                <w:sz w:val="18"/>
                <w:szCs w:val="18"/>
              </w:rPr>
            </w:pPr>
          </w:p>
        </w:tc>
        <w:tc>
          <w:tcPr>
            <w:tcW w:w="1260" w:type="dxa"/>
            <w:tcBorders>
              <w:left w:val="single" w:sz="4" w:space="0" w:color="auto"/>
            </w:tcBorders>
          </w:tcPr>
          <w:p w14:paraId="708CCA77" w14:textId="77777777" w:rsidR="009C38E7" w:rsidRPr="000E2725" w:rsidRDefault="009C38E7" w:rsidP="00F979CD">
            <w:pPr>
              <w:rPr>
                <w:sz w:val="18"/>
                <w:szCs w:val="18"/>
              </w:rPr>
            </w:pPr>
            <w:r w:rsidRPr="000E2725">
              <w:rPr>
                <w:sz w:val="18"/>
                <w:szCs w:val="18"/>
              </w:rPr>
              <w:t>controllers</w:t>
            </w:r>
          </w:p>
        </w:tc>
      </w:tr>
      <w:tr w:rsidR="009C38E7" w:rsidRPr="000E2725" w14:paraId="1818D58D" w14:textId="77777777" w:rsidTr="00F979CD">
        <w:tc>
          <w:tcPr>
            <w:tcW w:w="645" w:type="dxa"/>
            <w:tcBorders>
              <w:top w:val="nil"/>
              <w:left w:val="nil"/>
              <w:bottom w:val="nil"/>
              <w:right w:val="nil"/>
            </w:tcBorders>
          </w:tcPr>
          <w:p w14:paraId="0D7BFC02" w14:textId="77777777" w:rsidR="009C38E7" w:rsidRPr="000E2725" w:rsidRDefault="009C38E7" w:rsidP="00F979CD">
            <w:pPr>
              <w:rPr>
                <w:sz w:val="18"/>
                <w:szCs w:val="18"/>
              </w:rPr>
            </w:pPr>
          </w:p>
        </w:tc>
        <w:tc>
          <w:tcPr>
            <w:tcW w:w="1249" w:type="dxa"/>
            <w:tcBorders>
              <w:top w:val="nil"/>
              <w:left w:val="nil"/>
              <w:bottom w:val="nil"/>
              <w:right w:val="nil"/>
            </w:tcBorders>
          </w:tcPr>
          <w:p w14:paraId="687F88D4" w14:textId="77777777" w:rsidR="009C38E7" w:rsidRPr="000E2725" w:rsidRDefault="009C38E7" w:rsidP="00F979CD">
            <w:pPr>
              <w:rPr>
                <w:sz w:val="18"/>
                <w:szCs w:val="18"/>
              </w:rPr>
            </w:pPr>
          </w:p>
        </w:tc>
        <w:tc>
          <w:tcPr>
            <w:tcW w:w="1862" w:type="dxa"/>
            <w:tcBorders>
              <w:top w:val="nil"/>
              <w:left w:val="nil"/>
              <w:bottom w:val="nil"/>
              <w:right w:val="nil"/>
            </w:tcBorders>
          </w:tcPr>
          <w:p w14:paraId="7FB11E61" w14:textId="77777777" w:rsidR="009C38E7" w:rsidRPr="000E2725" w:rsidRDefault="009C38E7" w:rsidP="00F979CD">
            <w:pPr>
              <w:rPr>
                <w:sz w:val="18"/>
                <w:szCs w:val="18"/>
              </w:rPr>
            </w:pPr>
          </w:p>
        </w:tc>
        <w:tc>
          <w:tcPr>
            <w:tcW w:w="1819" w:type="dxa"/>
            <w:tcBorders>
              <w:top w:val="nil"/>
              <w:left w:val="nil"/>
              <w:bottom w:val="nil"/>
              <w:right w:val="single" w:sz="4" w:space="0" w:color="auto"/>
            </w:tcBorders>
          </w:tcPr>
          <w:p w14:paraId="48E7689F" w14:textId="77777777" w:rsidR="009C38E7" w:rsidRPr="000E2725" w:rsidRDefault="009C38E7" w:rsidP="00F979CD">
            <w:pPr>
              <w:rPr>
                <w:sz w:val="18"/>
                <w:szCs w:val="18"/>
              </w:rPr>
            </w:pPr>
          </w:p>
        </w:tc>
        <w:tc>
          <w:tcPr>
            <w:tcW w:w="1260" w:type="dxa"/>
            <w:tcBorders>
              <w:left w:val="single" w:sz="4" w:space="0" w:color="auto"/>
            </w:tcBorders>
          </w:tcPr>
          <w:p w14:paraId="70A57F7D" w14:textId="77777777" w:rsidR="009C38E7" w:rsidRPr="000E2725" w:rsidRDefault="009C38E7" w:rsidP="00F979CD">
            <w:pPr>
              <w:rPr>
                <w:sz w:val="18"/>
                <w:szCs w:val="18"/>
              </w:rPr>
            </w:pPr>
            <w:r w:rsidRPr="000E2725">
              <w:rPr>
                <w:sz w:val="18"/>
                <w:szCs w:val="18"/>
              </w:rPr>
              <w:t>etc.</w:t>
            </w:r>
          </w:p>
        </w:tc>
      </w:tr>
    </w:tbl>
    <w:p w14:paraId="0BC52E82" w14:textId="77777777" w:rsidR="009C38E7" w:rsidRDefault="009C38E7" w:rsidP="009C38E7"/>
    <w:p w14:paraId="5E626512" w14:textId="7D76BCAF" w:rsidR="00F70920" w:rsidRDefault="00086E30" w:rsidP="009C38E7">
      <w:r>
        <w:t>A</w:t>
      </w:r>
      <w:r w:rsidR="009C38E7">
        <w:t xml:space="preserve"> fully qualified class name (i.e., including its package name</w:t>
      </w:r>
      <w:r w:rsidR="005B297C">
        <w:t xml:space="preserve"> or namespace</w:t>
      </w:r>
      <w:r w:rsidR="009C38E7">
        <w:t>) for a</w:t>
      </w:r>
      <w:r w:rsidR="00F70920">
        <w:t>:</w:t>
      </w:r>
    </w:p>
    <w:p w14:paraId="511DEA19" w14:textId="18844C07" w:rsidR="00F70920" w:rsidRDefault="00F70920" w:rsidP="00F70920">
      <w:pPr>
        <w:pStyle w:val="ListParagraph"/>
        <w:numPr>
          <w:ilvl w:val="0"/>
          <w:numId w:val="6"/>
        </w:numPr>
      </w:pPr>
      <w:r>
        <w:t>S</w:t>
      </w:r>
      <w:r w:rsidR="009C38E7">
        <w:t xml:space="preserve">ervice class named </w:t>
      </w:r>
      <w:r w:rsidR="581AC374">
        <w:t>“</w:t>
      </w:r>
      <w:r w:rsidR="009C38E7">
        <w:t>UserService</w:t>
      </w:r>
      <w:r w:rsidR="55DFDA3E">
        <w:t>”</w:t>
      </w:r>
    </w:p>
    <w:p w14:paraId="45C57C39" w14:textId="381737EF" w:rsidR="00F70920" w:rsidRDefault="00F70920" w:rsidP="00F70920">
      <w:pPr>
        <w:pStyle w:val="ListParagraph"/>
        <w:numPr>
          <w:ilvl w:val="0"/>
          <w:numId w:val="6"/>
        </w:numPr>
      </w:pPr>
      <w:r>
        <w:t xml:space="preserve">In </w:t>
      </w:r>
      <w:r w:rsidR="009C38E7">
        <w:t>an application named “baz”</w:t>
      </w:r>
    </w:p>
    <w:p w14:paraId="2695F21E" w14:textId="3E0AB356" w:rsidR="009C38E7" w:rsidRDefault="00F70920" w:rsidP="001C29EC">
      <w:pPr>
        <w:pStyle w:val="ListParagraph"/>
        <w:numPr>
          <w:ilvl w:val="0"/>
          <w:numId w:val="6"/>
        </w:numPr>
      </w:pPr>
      <w:r>
        <w:t>D</w:t>
      </w:r>
      <w:r w:rsidR="009C38E7">
        <w:t>eveloped for the Office of Technology and Information Services</w:t>
      </w:r>
      <w:r w:rsidR="5186E30F">
        <w:t xml:space="preserve"> (OTIS)</w:t>
      </w:r>
    </w:p>
    <w:p w14:paraId="3A19E532" w14:textId="5FF70C68" w:rsidR="001C29EC" w:rsidRDefault="001C29EC" w:rsidP="001C29EC">
      <w:r>
        <w:t>is:</w:t>
      </w:r>
    </w:p>
    <w:p w14:paraId="617627E9" w14:textId="4C3C230F" w:rsidR="009C38E7" w:rsidRDefault="009C38E7" w:rsidP="009C38E7">
      <w:pPr>
        <w:ind w:left="720"/>
      </w:pPr>
      <w:proofErr w:type="gramStart"/>
      <w:r>
        <w:t>gov.floridadep.otis.baz.services</w:t>
      </w:r>
      <w:proofErr w:type="gramEnd"/>
      <w:r>
        <w:t>.UserService</w:t>
      </w:r>
    </w:p>
    <w:p w14:paraId="0CE60CA2" w14:textId="5622F32D" w:rsidR="009C38E7" w:rsidRDefault="009C38E7" w:rsidP="009C38E7">
      <w:r>
        <w:t xml:space="preserve">No Application </w:t>
      </w:r>
      <w:r w:rsidR="002B7C75">
        <w:t xml:space="preserve">Source </w:t>
      </w:r>
      <w:r>
        <w:t xml:space="preserve">shall be permitted to </w:t>
      </w:r>
      <w:r w:rsidR="004A08B7">
        <w:t xml:space="preserve">bear </w:t>
      </w:r>
      <w:r>
        <w:t>the name of its vendor in filenames, directory names, package names, class names, project names, or in any other place that may imply the vendor’s retention of ownership or intellectual property rights without prior approval by DEP.</w:t>
      </w:r>
    </w:p>
    <w:p w14:paraId="386D9022" w14:textId="6F3F508B" w:rsidR="00D4403F" w:rsidRDefault="00972B3C" w:rsidP="00972B3C">
      <w:pPr>
        <w:pStyle w:val="Heading3"/>
      </w:pPr>
      <w:bookmarkStart w:id="7" w:name="_Toc119424459"/>
      <w:r>
        <w:t>Naming: Variables</w:t>
      </w:r>
      <w:r w:rsidR="00F2184D">
        <w:t>,</w:t>
      </w:r>
      <w:r w:rsidR="009548D1">
        <w:t xml:space="preserve"> Constants,</w:t>
      </w:r>
      <w:r w:rsidR="00F2184D">
        <w:t xml:space="preserve"> Files, Classes</w:t>
      </w:r>
      <w:r w:rsidR="00EB63FA">
        <w:t xml:space="preserve"> (“Elements”)</w:t>
      </w:r>
      <w:bookmarkEnd w:id="7"/>
    </w:p>
    <w:p w14:paraId="70B625C9" w14:textId="591C0084" w:rsidR="00304CA9" w:rsidRDefault="00D4403F" w:rsidP="00304CA9">
      <w:pPr>
        <w:pStyle w:val="ListParagraph"/>
        <w:numPr>
          <w:ilvl w:val="0"/>
          <w:numId w:val="4"/>
        </w:numPr>
      </w:pPr>
      <w:r>
        <w:t>All</w:t>
      </w:r>
      <w:r w:rsidR="00085116">
        <w:t xml:space="preserve"> </w:t>
      </w:r>
      <w:r w:rsidR="00EB63FA">
        <w:t>Elements</w:t>
      </w:r>
      <w:r w:rsidR="009548D1">
        <w:t xml:space="preserve"> </w:t>
      </w:r>
      <w:r w:rsidR="00913F6B">
        <w:t xml:space="preserve">of the Application Source shall be named in a descriptive </w:t>
      </w:r>
      <w:r w:rsidR="00A45B13">
        <w:t>manner</w:t>
      </w:r>
    </w:p>
    <w:p w14:paraId="6912D44F" w14:textId="77777777" w:rsidR="00304CA9" w:rsidRDefault="00A45B13" w:rsidP="00304CA9">
      <w:pPr>
        <w:pStyle w:val="ListParagraph"/>
        <w:numPr>
          <w:ilvl w:val="0"/>
          <w:numId w:val="4"/>
        </w:numPr>
      </w:pPr>
      <w:r>
        <w:t xml:space="preserve">Abbreviation of words </w:t>
      </w:r>
      <w:r w:rsidR="007031C7">
        <w:t xml:space="preserve">in these named items </w:t>
      </w:r>
      <w:r w:rsidR="00B77BE6">
        <w:t xml:space="preserve">is only acceptable when </w:t>
      </w:r>
      <w:r w:rsidR="007031C7">
        <w:t xml:space="preserve">necessary to </w:t>
      </w:r>
      <w:r w:rsidR="00EA18E3">
        <w:t>satisfy</w:t>
      </w:r>
      <w:r w:rsidR="00656BAA">
        <w:t xml:space="preserve"> compiler </w:t>
      </w:r>
      <w:r w:rsidR="00A27057">
        <w:t>limitations or language syntax rules</w:t>
      </w:r>
    </w:p>
    <w:p w14:paraId="37315B72" w14:textId="1A80A9C8" w:rsidR="00B122F0" w:rsidRDefault="000267CF" w:rsidP="00304CA9">
      <w:pPr>
        <w:pStyle w:val="ListParagraph"/>
        <w:numPr>
          <w:ilvl w:val="0"/>
          <w:numId w:val="4"/>
        </w:numPr>
      </w:pPr>
      <w:r>
        <w:t>A</w:t>
      </w:r>
      <w:r w:rsidR="005707A0">
        <w:t xml:space="preserve">ll </w:t>
      </w:r>
      <w:r w:rsidR="009D535D">
        <w:t xml:space="preserve">Element </w:t>
      </w:r>
      <w:r w:rsidR="005707A0">
        <w:t xml:space="preserve">names must be </w:t>
      </w:r>
      <w:r>
        <w:t xml:space="preserve">correctly spelled </w:t>
      </w:r>
      <w:r w:rsidR="002514B5">
        <w:t xml:space="preserve">American English </w:t>
      </w:r>
      <w:r w:rsidR="00D13170">
        <w:t>words</w:t>
      </w:r>
      <w:r w:rsidR="00663D86">
        <w:t>, or phrases thereof,</w:t>
      </w:r>
      <w:r w:rsidR="00D13170">
        <w:t xml:space="preserve"> from </w:t>
      </w:r>
      <w:r w:rsidR="002514B5">
        <w:t xml:space="preserve">the Oxford English Dictionary </w:t>
      </w:r>
      <w:r>
        <w:t>except when the name is an establish</w:t>
      </w:r>
      <w:r w:rsidR="008972D7">
        <w:t>ed</w:t>
      </w:r>
      <w:r>
        <w:t xml:space="preserve"> acronym, initialism, abbreviation</w:t>
      </w:r>
      <w:r w:rsidR="002514B5">
        <w:t xml:space="preserve">, proper noun, trademark, </w:t>
      </w:r>
      <w:r w:rsidR="00304CA9">
        <w:t>or service mark</w:t>
      </w:r>
    </w:p>
    <w:p w14:paraId="2527ACDD" w14:textId="769066D8" w:rsidR="001659D0" w:rsidRDefault="009D535D" w:rsidP="007B0D38">
      <w:pPr>
        <w:pStyle w:val="ListParagraph"/>
        <w:numPr>
          <w:ilvl w:val="0"/>
          <w:numId w:val="4"/>
        </w:numPr>
      </w:pPr>
      <w:r>
        <w:t>Elements</w:t>
      </w:r>
      <w:r w:rsidR="009E76DB">
        <w:t xml:space="preserve"> shall be named </w:t>
      </w:r>
      <w:r w:rsidR="002F3FFC">
        <w:t>as</w:t>
      </w:r>
      <w:r w:rsidR="009448F2">
        <w:t xml:space="preserve"> singular</w:t>
      </w:r>
      <w:r w:rsidR="002F3FFC">
        <w:t xml:space="preserve"> nouns or verbs</w:t>
      </w:r>
      <w:r w:rsidR="009448F2">
        <w:t xml:space="preserve"> </w:t>
      </w:r>
      <w:r w:rsidR="009E76DB">
        <w:t xml:space="preserve">except when they represent </w:t>
      </w:r>
      <w:r w:rsidR="00D87121">
        <w:t xml:space="preserve">a collection of </w:t>
      </w:r>
      <w:r w:rsidR="001659D0">
        <w:t>other elements or operators</w:t>
      </w:r>
    </w:p>
    <w:p w14:paraId="21C6EFC6" w14:textId="1925E844" w:rsidR="00E35EAE" w:rsidRDefault="0070423C" w:rsidP="00B122F0">
      <w:pPr>
        <w:pStyle w:val="Heading3"/>
      </w:pPr>
      <w:bookmarkStart w:id="8" w:name="_Toc119424460"/>
      <w:r>
        <w:t>Other Conventions</w:t>
      </w:r>
      <w:bookmarkEnd w:id="8"/>
    </w:p>
    <w:p w14:paraId="435E33C3" w14:textId="6D941544" w:rsidR="0070423C" w:rsidRDefault="00666DEA" w:rsidP="0070423C">
      <w:r>
        <w:t xml:space="preserve">In addition to the standards defined herein, all Application code shall adhere to the appropriate </w:t>
      </w:r>
      <w:r w:rsidR="00867CDA">
        <w:t xml:space="preserve">style guide </w:t>
      </w:r>
      <w:r w:rsidR="00695B7F">
        <w:t>listed below. For Application code written in a programming, scripting, or markup language that is not identified</w:t>
      </w:r>
      <w:r w:rsidR="00BF0495">
        <w:t xml:space="preserve"> below</w:t>
      </w:r>
      <w:r w:rsidR="00695B7F">
        <w:t xml:space="preserve">, </w:t>
      </w:r>
      <w:r w:rsidR="002A3E00">
        <w:t>the vendor shall request a style guide from DEP</w:t>
      </w:r>
      <w:r w:rsidR="00BF0495">
        <w:t>.</w:t>
      </w:r>
    </w:p>
    <w:tbl>
      <w:tblPr>
        <w:tblStyle w:val="GridTable4-Accent5"/>
        <w:tblW w:w="9350" w:type="dxa"/>
        <w:tblLook w:val="04A0" w:firstRow="1" w:lastRow="0" w:firstColumn="1" w:lastColumn="0" w:noHBand="0" w:noVBand="1"/>
      </w:tblPr>
      <w:tblGrid>
        <w:gridCol w:w="1440"/>
        <w:gridCol w:w="1980"/>
        <w:gridCol w:w="5930"/>
      </w:tblGrid>
      <w:tr w:rsidR="00305CD7" w14:paraId="62A023E5" w14:textId="7C096E30" w:rsidTr="00211A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1CC91A31" w14:textId="7E29D1FC" w:rsidR="00305CD7" w:rsidRDefault="00305CD7" w:rsidP="0070423C">
            <w:r>
              <w:t>Language</w:t>
            </w:r>
          </w:p>
        </w:tc>
        <w:tc>
          <w:tcPr>
            <w:tcW w:w="1980" w:type="dxa"/>
          </w:tcPr>
          <w:p w14:paraId="69FE7A21" w14:textId="1765980A" w:rsidR="00305CD7" w:rsidRDefault="00305CD7" w:rsidP="0070423C">
            <w:pPr>
              <w:cnfStyle w:val="100000000000" w:firstRow="1" w:lastRow="0" w:firstColumn="0" w:lastColumn="0" w:oddVBand="0" w:evenVBand="0" w:oddHBand="0" w:evenHBand="0" w:firstRowFirstColumn="0" w:firstRowLastColumn="0" w:lastRowFirstColumn="0" w:lastRowLastColumn="0"/>
            </w:pPr>
            <w:r>
              <w:t>Style Guide</w:t>
            </w:r>
          </w:p>
        </w:tc>
        <w:tc>
          <w:tcPr>
            <w:tcW w:w="5930" w:type="dxa"/>
          </w:tcPr>
          <w:p w14:paraId="10D5179C" w14:textId="2EA8E4CF" w:rsidR="00305CD7" w:rsidRDefault="00305CD7" w:rsidP="0070423C">
            <w:pPr>
              <w:cnfStyle w:val="100000000000" w:firstRow="1" w:lastRow="0" w:firstColumn="0" w:lastColumn="0" w:oddVBand="0" w:evenVBand="0" w:oddHBand="0" w:evenHBand="0" w:firstRowFirstColumn="0" w:firstRowLastColumn="0" w:lastRowFirstColumn="0" w:lastRowLastColumn="0"/>
            </w:pPr>
            <w:r>
              <w:t>Reference</w:t>
            </w:r>
          </w:p>
        </w:tc>
      </w:tr>
      <w:tr w:rsidR="00305CD7" w14:paraId="6B7CD12A" w14:textId="0A2112D9" w:rsidTr="00211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348DF537" w14:textId="42556091" w:rsidR="00305CD7" w:rsidRPr="00A05C98" w:rsidRDefault="00305CD7" w:rsidP="0070423C">
            <w:pPr>
              <w:rPr>
                <w:sz w:val="20"/>
                <w:szCs w:val="20"/>
              </w:rPr>
            </w:pPr>
            <w:r w:rsidRPr="00A05C98">
              <w:rPr>
                <w:sz w:val="20"/>
                <w:szCs w:val="20"/>
              </w:rPr>
              <w:t>Java</w:t>
            </w:r>
          </w:p>
        </w:tc>
        <w:tc>
          <w:tcPr>
            <w:tcW w:w="1980" w:type="dxa"/>
          </w:tcPr>
          <w:p w14:paraId="4504FD78" w14:textId="4270E238" w:rsidR="00305CD7" w:rsidRPr="00A05C98" w:rsidRDefault="00305CD7" w:rsidP="0070423C">
            <w:pPr>
              <w:cnfStyle w:val="000000100000" w:firstRow="0" w:lastRow="0" w:firstColumn="0" w:lastColumn="0" w:oddVBand="0" w:evenVBand="0" w:oddHBand="1" w:evenHBand="0" w:firstRowFirstColumn="0" w:firstRowLastColumn="0" w:lastRowFirstColumn="0" w:lastRowLastColumn="0"/>
              <w:rPr>
                <w:sz w:val="20"/>
                <w:szCs w:val="20"/>
              </w:rPr>
            </w:pPr>
            <w:r w:rsidRPr="00A05C98">
              <w:rPr>
                <w:sz w:val="20"/>
                <w:szCs w:val="20"/>
              </w:rPr>
              <w:t>Google Style Guide</w:t>
            </w:r>
          </w:p>
        </w:tc>
        <w:tc>
          <w:tcPr>
            <w:tcW w:w="5930" w:type="dxa"/>
          </w:tcPr>
          <w:p w14:paraId="31DCCCE0" w14:textId="205E997D" w:rsidR="00305CD7" w:rsidRPr="00211A45" w:rsidRDefault="00334FE5" w:rsidP="0070423C">
            <w:pPr>
              <w:cnfStyle w:val="000000100000" w:firstRow="0" w:lastRow="0" w:firstColumn="0" w:lastColumn="0" w:oddVBand="0" w:evenVBand="0" w:oddHBand="1" w:evenHBand="0" w:firstRowFirstColumn="0" w:firstRowLastColumn="0" w:lastRowFirstColumn="0" w:lastRowLastColumn="0"/>
              <w:rPr>
                <w:sz w:val="18"/>
                <w:szCs w:val="18"/>
              </w:rPr>
            </w:pPr>
            <w:hyperlink r:id="rId7">
              <w:r w:rsidR="00305CD7" w:rsidRPr="00211A45">
                <w:rPr>
                  <w:rStyle w:val="Hyperlink"/>
                  <w:sz w:val="18"/>
                  <w:szCs w:val="18"/>
                </w:rPr>
                <w:t>https://google.github.io/styleguide/javaguide.html</w:t>
              </w:r>
            </w:hyperlink>
          </w:p>
        </w:tc>
      </w:tr>
      <w:tr w:rsidR="00305CD7" w14:paraId="4666FE76" w14:textId="736FEBE1" w:rsidTr="00211A45">
        <w:tc>
          <w:tcPr>
            <w:cnfStyle w:val="001000000000" w:firstRow="0" w:lastRow="0" w:firstColumn="1" w:lastColumn="0" w:oddVBand="0" w:evenVBand="0" w:oddHBand="0" w:evenHBand="0" w:firstRowFirstColumn="0" w:firstRowLastColumn="0" w:lastRowFirstColumn="0" w:lastRowLastColumn="0"/>
            <w:tcW w:w="1440" w:type="dxa"/>
          </w:tcPr>
          <w:p w14:paraId="2E7119AA" w14:textId="2EB87A2D" w:rsidR="00305CD7" w:rsidRPr="00A05C98" w:rsidRDefault="00305CD7" w:rsidP="0070423C">
            <w:pPr>
              <w:rPr>
                <w:sz w:val="20"/>
                <w:szCs w:val="20"/>
              </w:rPr>
            </w:pPr>
            <w:r w:rsidRPr="00A05C98">
              <w:rPr>
                <w:sz w:val="20"/>
                <w:szCs w:val="20"/>
              </w:rPr>
              <w:t>PHP</w:t>
            </w:r>
          </w:p>
        </w:tc>
        <w:tc>
          <w:tcPr>
            <w:tcW w:w="1980" w:type="dxa"/>
          </w:tcPr>
          <w:p w14:paraId="43F26DB1" w14:textId="728586DB" w:rsidR="00305CD7" w:rsidRPr="00A05C98" w:rsidRDefault="00305CD7" w:rsidP="0070423C">
            <w:pPr>
              <w:cnfStyle w:val="000000000000" w:firstRow="0" w:lastRow="0" w:firstColumn="0" w:lastColumn="0" w:oddVBand="0" w:evenVBand="0" w:oddHBand="0" w:evenHBand="0" w:firstRowFirstColumn="0" w:firstRowLastColumn="0" w:lastRowFirstColumn="0" w:lastRowLastColumn="0"/>
              <w:rPr>
                <w:sz w:val="20"/>
                <w:szCs w:val="20"/>
              </w:rPr>
            </w:pPr>
            <w:r w:rsidRPr="00A05C98">
              <w:rPr>
                <w:sz w:val="20"/>
                <w:szCs w:val="20"/>
              </w:rPr>
              <w:t>WordPress PHP Coding Standards</w:t>
            </w:r>
          </w:p>
        </w:tc>
        <w:tc>
          <w:tcPr>
            <w:tcW w:w="5930" w:type="dxa"/>
          </w:tcPr>
          <w:p w14:paraId="27B918F7" w14:textId="12DCBD0A" w:rsidR="00305CD7" w:rsidRPr="00211A45" w:rsidRDefault="00334FE5" w:rsidP="0070423C">
            <w:pPr>
              <w:cnfStyle w:val="000000000000" w:firstRow="0" w:lastRow="0" w:firstColumn="0" w:lastColumn="0" w:oddVBand="0" w:evenVBand="0" w:oddHBand="0" w:evenHBand="0" w:firstRowFirstColumn="0" w:firstRowLastColumn="0" w:lastRowFirstColumn="0" w:lastRowLastColumn="0"/>
              <w:rPr>
                <w:sz w:val="18"/>
                <w:szCs w:val="18"/>
              </w:rPr>
            </w:pPr>
            <w:hyperlink r:id="rId8">
              <w:r w:rsidR="00305CD7" w:rsidRPr="00211A45">
                <w:rPr>
                  <w:rStyle w:val="Hyperlink"/>
                  <w:sz w:val="18"/>
                  <w:szCs w:val="18"/>
                </w:rPr>
                <w:t>https://developer.wordpress.org/coding-standards/wordpress-coding-standards/php/</w:t>
              </w:r>
            </w:hyperlink>
          </w:p>
        </w:tc>
      </w:tr>
      <w:tr w:rsidR="00305CD7" w14:paraId="1BAA77B4" w14:textId="20F33F91" w:rsidTr="00211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83CC291" w14:textId="15D75E3D" w:rsidR="00305CD7" w:rsidRPr="00A05C98" w:rsidRDefault="00083ACD" w:rsidP="0070423C">
            <w:pPr>
              <w:rPr>
                <w:sz w:val="20"/>
                <w:szCs w:val="20"/>
              </w:rPr>
            </w:pPr>
            <w:r w:rsidRPr="00A05C98">
              <w:rPr>
                <w:sz w:val="20"/>
                <w:szCs w:val="20"/>
              </w:rPr>
              <w:lastRenderedPageBreak/>
              <w:t>HTML</w:t>
            </w:r>
            <w:r w:rsidR="00D6533B" w:rsidRPr="00A05C98">
              <w:rPr>
                <w:sz w:val="20"/>
                <w:szCs w:val="20"/>
              </w:rPr>
              <w:t xml:space="preserve"> and CSS</w:t>
            </w:r>
          </w:p>
        </w:tc>
        <w:tc>
          <w:tcPr>
            <w:tcW w:w="1980" w:type="dxa"/>
          </w:tcPr>
          <w:p w14:paraId="4E011C60" w14:textId="7C4CF865" w:rsidR="00305CD7" w:rsidRPr="00A05C98" w:rsidRDefault="00D6533B" w:rsidP="0070423C">
            <w:pPr>
              <w:cnfStyle w:val="000000100000" w:firstRow="0" w:lastRow="0" w:firstColumn="0" w:lastColumn="0" w:oddVBand="0" w:evenVBand="0" w:oddHBand="1" w:evenHBand="0" w:firstRowFirstColumn="0" w:firstRowLastColumn="0" w:lastRowFirstColumn="0" w:lastRowLastColumn="0"/>
              <w:rPr>
                <w:sz w:val="20"/>
                <w:szCs w:val="20"/>
              </w:rPr>
            </w:pPr>
            <w:r w:rsidRPr="00A05C98">
              <w:rPr>
                <w:sz w:val="20"/>
                <w:szCs w:val="20"/>
              </w:rPr>
              <w:t>Google HTML/CSS Style Guide</w:t>
            </w:r>
          </w:p>
        </w:tc>
        <w:tc>
          <w:tcPr>
            <w:tcW w:w="5930" w:type="dxa"/>
          </w:tcPr>
          <w:p w14:paraId="2EDA6ED3" w14:textId="2F3135F5" w:rsidR="00D6533B" w:rsidRPr="00211A45" w:rsidRDefault="00334FE5" w:rsidP="00D6533B">
            <w:pPr>
              <w:cnfStyle w:val="000000100000" w:firstRow="0" w:lastRow="0" w:firstColumn="0" w:lastColumn="0" w:oddVBand="0" w:evenVBand="0" w:oddHBand="1" w:evenHBand="0" w:firstRowFirstColumn="0" w:firstRowLastColumn="0" w:lastRowFirstColumn="0" w:lastRowLastColumn="0"/>
              <w:rPr>
                <w:sz w:val="18"/>
                <w:szCs w:val="18"/>
              </w:rPr>
            </w:pPr>
            <w:hyperlink r:id="rId9">
              <w:r w:rsidR="00D6533B" w:rsidRPr="00211A45">
                <w:rPr>
                  <w:rStyle w:val="Hyperlink"/>
                  <w:sz w:val="18"/>
                  <w:szCs w:val="18"/>
                </w:rPr>
                <w:t>https://google.github.io/styleguide/htmlcssguide.html</w:t>
              </w:r>
            </w:hyperlink>
          </w:p>
        </w:tc>
      </w:tr>
      <w:tr w:rsidR="00D6533B" w14:paraId="4795B849" w14:textId="77777777" w:rsidTr="00211A45">
        <w:tc>
          <w:tcPr>
            <w:cnfStyle w:val="001000000000" w:firstRow="0" w:lastRow="0" w:firstColumn="1" w:lastColumn="0" w:oddVBand="0" w:evenVBand="0" w:oddHBand="0" w:evenHBand="0" w:firstRowFirstColumn="0" w:firstRowLastColumn="0" w:lastRowFirstColumn="0" w:lastRowLastColumn="0"/>
            <w:tcW w:w="1440" w:type="dxa"/>
          </w:tcPr>
          <w:p w14:paraId="60B4925E" w14:textId="0E795AFD" w:rsidR="00D6533B" w:rsidRPr="00A05C98" w:rsidRDefault="002F4809" w:rsidP="0070423C">
            <w:pPr>
              <w:rPr>
                <w:sz w:val="20"/>
                <w:szCs w:val="20"/>
              </w:rPr>
            </w:pPr>
            <w:r w:rsidRPr="00A05C98">
              <w:rPr>
                <w:sz w:val="20"/>
                <w:szCs w:val="20"/>
              </w:rPr>
              <w:t>JavaScript</w:t>
            </w:r>
          </w:p>
        </w:tc>
        <w:tc>
          <w:tcPr>
            <w:tcW w:w="1980" w:type="dxa"/>
          </w:tcPr>
          <w:p w14:paraId="0A5FF977" w14:textId="31D21A0F" w:rsidR="00D6533B" w:rsidRPr="00A05C98" w:rsidRDefault="002F4809" w:rsidP="0070423C">
            <w:pPr>
              <w:cnfStyle w:val="000000000000" w:firstRow="0" w:lastRow="0" w:firstColumn="0" w:lastColumn="0" w:oddVBand="0" w:evenVBand="0" w:oddHBand="0" w:evenHBand="0" w:firstRowFirstColumn="0" w:firstRowLastColumn="0" w:lastRowFirstColumn="0" w:lastRowLastColumn="0"/>
              <w:rPr>
                <w:sz w:val="20"/>
                <w:szCs w:val="20"/>
              </w:rPr>
            </w:pPr>
            <w:r w:rsidRPr="00A05C98">
              <w:rPr>
                <w:sz w:val="20"/>
                <w:szCs w:val="20"/>
              </w:rPr>
              <w:t>Google JavaScript Style Guide</w:t>
            </w:r>
          </w:p>
        </w:tc>
        <w:tc>
          <w:tcPr>
            <w:tcW w:w="5930" w:type="dxa"/>
          </w:tcPr>
          <w:p w14:paraId="1EF2117D" w14:textId="11E53874" w:rsidR="002F4809" w:rsidRPr="00211A45" w:rsidRDefault="00334FE5" w:rsidP="002F4809">
            <w:pPr>
              <w:cnfStyle w:val="000000000000" w:firstRow="0" w:lastRow="0" w:firstColumn="0" w:lastColumn="0" w:oddVBand="0" w:evenVBand="0" w:oddHBand="0" w:evenHBand="0" w:firstRowFirstColumn="0" w:firstRowLastColumn="0" w:lastRowFirstColumn="0" w:lastRowLastColumn="0"/>
              <w:rPr>
                <w:sz w:val="18"/>
                <w:szCs w:val="18"/>
              </w:rPr>
            </w:pPr>
            <w:hyperlink r:id="rId10">
              <w:r w:rsidR="002F4809" w:rsidRPr="00211A45">
                <w:rPr>
                  <w:rStyle w:val="Hyperlink"/>
                  <w:sz w:val="18"/>
                  <w:szCs w:val="18"/>
                </w:rPr>
                <w:t>https://google.github.io/styleguide/jsguide.html</w:t>
              </w:r>
            </w:hyperlink>
          </w:p>
        </w:tc>
      </w:tr>
      <w:tr w:rsidR="002F4809" w14:paraId="508516B3" w14:textId="77777777" w:rsidTr="00211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384382E" w14:textId="742E64AB" w:rsidR="002F4809" w:rsidRPr="00A05C98" w:rsidRDefault="00103BF3" w:rsidP="0070423C">
            <w:pPr>
              <w:rPr>
                <w:sz w:val="20"/>
                <w:szCs w:val="20"/>
              </w:rPr>
            </w:pPr>
            <w:r w:rsidRPr="00A05C98">
              <w:rPr>
                <w:sz w:val="20"/>
                <w:szCs w:val="20"/>
              </w:rPr>
              <w:t>TypeScript</w:t>
            </w:r>
          </w:p>
        </w:tc>
        <w:tc>
          <w:tcPr>
            <w:tcW w:w="1980" w:type="dxa"/>
          </w:tcPr>
          <w:p w14:paraId="326C3E0A" w14:textId="729DF7EE" w:rsidR="002F4809" w:rsidRPr="00A05C98" w:rsidRDefault="00103BF3" w:rsidP="0070423C">
            <w:pPr>
              <w:cnfStyle w:val="000000100000" w:firstRow="0" w:lastRow="0" w:firstColumn="0" w:lastColumn="0" w:oddVBand="0" w:evenVBand="0" w:oddHBand="1" w:evenHBand="0" w:firstRowFirstColumn="0" w:firstRowLastColumn="0" w:lastRowFirstColumn="0" w:lastRowLastColumn="0"/>
              <w:rPr>
                <w:sz w:val="20"/>
                <w:szCs w:val="20"/>
              </w:rPr>
            </w:pPr>
            <w:r w:rsidRPr="00A05C98">
              <w:rPr>
                <w:sz w:val="20"/>
                <w:szCs w:val="20"/>
              </w:rPr>
              <w:t>Google TypeScript Style Guide</w:t>
            </w:r>
          </w:p>
        </w:tc>
        <w:tc>
          <w:tcPr>
            <w:tcW w:w="5930" w:type="dxa"/>
          </w:tcPr>
          <w:p w14:paraId="7D94CCE3" w14:textId="4B5FE19E" w:rsidR="00103BF3" w:rsidRPr="00211A45" w:rsidRDefault="00334FE5" w:rsidP="00103BF3">
            <w:pPr>
              <w:cnfStyle w:val="000000100000" w:firstRow="0" w:lastRow="0" w:firstColumn="0" w:lastColumn="0" w:oddVBand="0" w:evenVBand="0" w:oddHBand="1" w:evenHBand="0" w:firstRowFirstColumn="0" w:firstRowLastColumn="0" w:lastRowFirstColumn="0" w:lastRowLastColumn="0"/>
              <w:rPr>
                <w:sz w:val="18"/>
                <w:szCs w:val="18"/>
              </w:rPr>
            </w:pPr>
            <w:hyperlink r:id="rId11">
              <w:r w:rsidR="00103BF3" w:rsidRPr="00211A45">
                <w:rPr>
                  <w:rStyle w:val="Hyperlink"/>
                  <w:sz w:val="18"/>
                  <w:szCs w:val="18"/>
                </w:rPr>
                <w:t>https://google.github.io/styleguide/tsguide.html</w:t>
              </w:r>
            </w:hyperlink>
          </w:p>
        </w:tc>
      </w:tr>
    </w:tbl>
    <w:p w14:paraId="3C1DBEC6" w14:textId="77777777" w:rsidR="00503D8F" w:rsidRDefault="00503D8F" w:rsidP="00503D8F">
      <w:pPr>
        <w:pStyle w:val="Heading1"/>
      </w:pPr>
      <w:bookmarkStart w:id="9" w:name="_Toc119424461"/>
      <w:r>
        <w:t>Definitions</w:t>
      </w:r>
      <w:bookmarkEnd w:id="9"/>
    </w:p>
    <w:p w14:paraId="5C2C7451" w14:textId="77777777" w:rsidR="00503D8F" w:rsidRDefault="00503D8F" w:rsidP="00503D8F">
      <w:r>
        <w:t>Application: The binary package(s) that may be executed or deployed</w:t>
      </w:r>
    </w:p>
    <w:p w14:paraId="30771EB8" w14:textId="77777777" w:rsidR="00503D8F" w:rsidRDefault="00503D8F" w:rsidP="00503D8F">
      <w:r>
        <w:t>Component: Any work that may be included in another work to enable or enhance its functionality</w:t>
      </w:r>
    </w:p>
    <w:p w14:paraId="64E243C5" w14:textId="77777777" w:rsidR="00503D8F" w:rsidRDefault="00503D8F" w:rsidP="00503D8F">
      <w:r>
        <w:t>Framework: Any set of Components that, together, provide a means of constructing an Application or larger/composite Component</w:t>
      </w:r>
    </w:p>
    <w:p w14:paraId="574ECEFB" w14:textId="77777777" w:rsidR="00503D8F" w:rsidRDefault="00503D8F" w:rsidP="00503D8F">
      <w:r>
        <w:t>Maturity (as it applies to Components, Frameworks, and Services): Having had at least one (1) viable release that is not labeled as “Beta,” “Test,” “Alpha,” “Release Candidate (RC),” or any other marker to indicate that it is not stable</w:t>
      </w:r>
    </w:p>
    <w:p w14:paraId="05675B0A" w14:textId="77777777" w:rsidR="00503D8F" w:rsidRDefault="00503D8F" w:rsidP="00503D8F">
      <w:r>
        <w:t>Service: Any discrete source or consumer of data with which another Service or Application may communicate</w:t>
      </w:r>
    </w:p>
    <w:p w14:paraId="691C38AA" w14:textId="77777777" w:rsidR="00503D8F" w:rsidRDefault="00503D8F" w:rsidP="00503D8F">
      <w:r>
        <w:t>Source: The entirety of the uncompiled code which, once compiled and packaged, constitutes the Application</w:t>
      </w:r>
    </w:p>
    <w:p w14:paraId="7AB6CE23" w14:textId="77777777" w:rsidR="00503D8F" w:rsidRDefault="00503D8F" w:rsidP="00503D8F">
      <w:r>
        <w:t>Third-Party Component: Any Component produced by an entity other that DEP, or Component that transitively includes such a Component</w:t>
      </w:r>
    </w:p>
    <w:p w14:paraId="520F02A2" w14:textId="77777777" w:rsidR="00503D8F" w:rsidRDefault="00503D8F" w:rsidP="00503D8F">
      <w:r>
        <w:t>Third-Party Framework: Any Framework produced by an entity other than DEP</w:t>
      </w:r>
    </w:p>
    <w:p w14:paraId="24E4ECAD" w14:textId="77777777" w:rsidR="00503D8F" w:rsidRDefault="00503D8F" w:rsidP="00503D8F">
      <w:r>
        <w:t>Third-Party Service: Any Service provided by an entity other than DEP</w:t>
      </w:r>
    </w:p>
    <w:p w14:paraId="06584824" w14:textId="24A8F2E2" w:rsidR="002656B1" w:rsidRDefault="002656B1" w:rsidP="00E46492"/>
    <w:sectPr w:rsidR="002656B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F80A7" w14:textId="77777777" w:rsidR="00925AB1" w:rsidRDefault="00925AB1" w:rsidP="00503D8F">
      <w:pPr>
        <w:spacing w:after="0" w:line="240" w:lineRule="auto"/>
      </w:pPr>
      <w:r>
        <w:separator/>
      </w:r>
    </w:p>
  </w:endnote>
  <w:endnote w:type="continuationSeparator" w:id="0">
    <w:p w14:paraId="2D0226A3" w14:textId="77777777" w:rsidR="00925AB1" w:rsidRDefault="00925AB1" w:rsidP="00503D8F">
      <w:pPr>
        <w:spacing w:after="0" w:line="240" w:lineRule="auto"/>
      </w:pPr>
      <w:r>
        <w:continuationSeparator/>
      </w:r>
    </w:p>
  </w:endnote>
  <w:endnote w:type="continuationNotice" w:id="1">
    <w:p w14:paraId="433E35A9" w14:textId="77777777" w:rsidR="00925AB1" w:rsidRDefault="00925A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05BDC" w14:textId="77777777" w:rsidR="00503D8F" w:rsidRDefault="00503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06768" w14:textId="77777777" w:rsidR="00503D8F" w:rsidRDefault="00503D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423B1" w14:textId="77777777" w:rsidR="00503D8F" w:rsidRDefault="00503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45975" w14:textId="77777777" w:rsidR="00925AB1" w:rsidRDefault="00925AB1" w:rsidP="00503D8F">
      <w:pPr>
        <w:spacing w:after="0" w:line="240" w:lineRule="auto"/>
      </w:pPr>
      <w:r>
        <w:separator/>
      </w:r>
    </w:p>
  </w:footnote>
  <w:footnote w:type="continuationSeparator" w:id="0">
    <w:p w14:paraId="0E15FE24" w14:textId="77777777" w:rsidR="00925AB1" w:rsidRDefault="00925AB1" w:rsidP="00503D8F">
      <w:pPr>
        <w:spacing w:after="0" w:line="240" w:lineRule="auto"/>
      </w:pPr>
      <w:r>
        <w:continuationSeparator/>
      </w:r>
    </w:p>
  </w:footnote>
  <w:footnote w:type="continuationNotice" w:id="1">
    <w:p w14:paraId="6CF86BCD" w14:textId="77777777" w:rsidR="00925AB1" w:rsidRDefault="00925A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FDA17" w14:textId="77777777" w:rsidR="00503D8F" w:rsidRDefault="00503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90EC8" w14:textId="54632DD1" w:rsidR="00503D8F" w:rsidRDefault="00503D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03C05" w14:textId="77777777" w:rsidR="00503D8F" w:rsidRDefault="00503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110D6"/>
    <w:multiLevelType w:val="hybridMultilevel"/>
    <w:tmpl w:val="4FF84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B2DE2"/>
    <w:multiLevelType w:val="hybridMultilevel"/>
    <w:tmpl w:val="DF92850A"/>
    <w:lvl w:ilvl="0" w:tplc="CC78A0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637D4"/>
    <w:multiLevelType w:val="hybridMultilevel"/>
    <w:tmpl w:val="107A7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B152E"/>
    <w:multiLevelType w:val="hybridMultilevel"/>
    <w:tmpl w:val="EF4CB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445DE6"/>
    <w:multiLevelType w:val="hybridMultilevel"/>
    <w:tmpl w:val="9822D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206A50"/>
    <w:multiLevelType w:val="hybridMultilevel"/>
    <w:tmpl w:val="F0127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5022A7"/>
    <w:multiLevelType w:val="hybridMultilevel"/>
    <w:tmpl w:val="B36EF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4340464">
    <w:abstractNumId w:val="6"/>
  </w:num>
  <w:num w:numId="2" w16cid:durableId="76053092">
    <w:abstractNumId w:val="0"/>
  </w:num>
  <w:num w:numId="3" w16cid:durableId="1789659804">
    <w:abstractNumId w:val="1"/>
  </w:num>
  <w:num w:numId="4" w16cid:durableId="1271159584">
    <w:abstractNumId w:val="2"/>
  </w:num>
  <w:num w:numId="5" w16cid:durableId="1711762690">
    <w:abstractNumId w:val="3"/>
  </w:num>
  <w:num w:numId="6" w16cid:durableId="1072503840">
    <w:abstractNumId w:val="4"/>
  </w:num>
  <w:num w:numId="7" w16cid:durableId="2735604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C93"/>
    <w:rsid w:val="00010225"/>
    <w:rsid w:val="00025655"/>
    <w:rsid w:val="000267CF"/>
    <w:rsid w:val="00036580"/>
    <w:rsid w:val="00051D5B"/>
    <w:rsid w:val="00056376"/>
    <w:rsid w:val="000711A9"/>
    <w:rsid w:val="00072D08"/>
    <w:rsid w:val="00083ACD"/>
    <w:rsid w:val="00085116"/>
    <w:rsid w:val="0008564B"/>
    <w:rsid w:val="00086E30"/>
    <w:rsid w:val="0009719B"/>
    <w:rsid w:val="000A4813"/>
    <w:rsid w:val="000D288D"/>
    <w:rsid w:val="000D74C7"/>
    <w:rsid w:val="000E2725"/>
    <w:rsid w:val="001019E5"/>
    <w:rsid w:val="00103BF3"/>
    <w:rsid w:val="001062BC"/>
    <w:rsid w:val="0010741C"/>
    <w:rsid w:val="00113CE6"/>
    <w:rsid w:val="00135407"/>
    <w:rsid w:val="00142ED1"/>
    <w:rsid w:val="001659D0"/>
    <w:rsid w:val="00170142"/>
    <w:rsid w:val="001842E5"/>
    <w:rsid w:val="00197669"/>
    <w:rsid w:val="001C0194"/>
    <w:rsid w:val="001C29EC"/>
    <w:rsid w:val="00211A45"/>
    <w:rsid w:val="00225685"/>
    <w:rsid w:val="002514B5"/>
    <w:rsid w:val="00251A8F"/>
    <w:rsid w:val="00256C80"/>
    <w:rsid w:val="002656B1"/>
    <w:rsid w:val="002706FB"/>
    <w:rsid w:val="00286EF1"/>
    <w:rsid w:val="002942DB"/>
    <w:rsid w:val="002A3E00"/>
    <w:rsid w:val="002B7C75"/>
    <w:rsid w:val="002C3033"/>
    <w:rsid w:val="002C485E"/>
    <w:rsid w:val="002D6989"/>
    <w:rsid w:val="002E5B01"/>
    <w:rsid w:val="002F3FFC"/>
    <w:rsid w:val="002F4809"/>
    <w:rsid w:val="00304CA9"/>
    <w:rsid w:val="00305CD7"/>
    <w:rsid w:val="003119D4"/>
    <w:rsid w:val="003263AB"/>
    <w:rsid w:val="00334FE5"/>
    <w:rsid w:val="00351206"/>
    <w:rsid w:val="003A3509"/>
    <w:rsid w:val="003A5A18"/>
    <w:rsid w:val="003D233C"/>
    <w:rsid w:val="003D67CB"/>
    <w:rsid w:val="003D6FF9"/>
    <w:rsid w:val="003F6BE6"/>
    <w:rsid w:val="003F7A38"/>
    <w:rsid w:val="00410163"/>
    <w:rsid w:val="0041198F"/>
    <w:rsid w:val="00416299"/>
    <w:rsid w:val="004668B0"/>
    <w:rsid w:val="004771D0"/>
    <w:rsid w:val="00486371"/>
    <w:rsid w:val="00496691"/>
    <w:rsid w:val="004A08B7"/>
    <w:rsid w:val="004A5F35"/>
    <w:rsid w:val="004B78E3"/>
    <w:rsid w:val="00503D8F"/>
    <w:rsid w:val="00516FF4"/>
    <w:rsid w:val="00522646"/>
    <w:rsid w:val="00534423"/>
    <w:rsid w:val="005360DF"/>
    <w:rsid w:val="00536F60"/>
    <w:rsid w:val="00552795"/>
    <w:rsid w:val="00555F45"/>
    <w:rsid w:val="00563539"/>
    <w:rsid w:val="005707A0"/>
    <w:rsid w:val="00572DEE"/>
    <w:rsid w:val="00586C1F"/>
    <w:rsid w:val="005B297C"/>
    <w:rsid w:val="005B7C51"/>
    <w:rsid w:val="005C2316"/>
    <w:rsid w:val="005C7F44"/>
    <w:rsid w:val="005E71D4"/>
    <w:rsid w:val="00606A17"/>
    <w:rsid w:val="00606DC0"/>
    <w:rsid w:val="00641A60"/>
    <w:rsid w:val="00656BAA"/>
    <w:rsid w:val="00663D86"/>
    <w:rsid w:val="00666DEA"/>
    <w:rsid w:val="00674358"/>
    <w:rsid w:val="00695B7F"/>
    <w:rsid w:val="006A5853"/>
    <w:rsid w:val="006B1BFF"/>
    <w:rsid w:val="006D7536"/>
    <w:rsid w:val="006E5D17"/>
    <w:rsid w:val="007031C7"/>
    <w:rsid w:val="0070423C"/>
    <w:rsid w:val="0070649B"/>
    <w:rsid w:val="00720C35"/>
    <w:rsid w:val="00742B15"/>
    <w:rsid w:val="00752ABC"/>
    <w:rsid w:val="00752BBE"/>
    <w:rsid w:val="0077328D"/>
    <w:rsid w:val="00796933"/>
    <w:rsid w:val="007B0D38"/>
    <w:rsid w:val="007B2E1D"/>
    <w:rsid w:val="007C54EA"/>
    <w:rsid w:val="007E2411"/>
    <w:rsid w:val="007E6CE9"/>
    <w:rsid w:val="00824EAA"/>
    <w:rsid w:val="00834104"/>
    <w:rsid w:val="008539D4"/>
    <w:rsid w:val="00856E89"/>
    <w:rsid w:val="00867CDA"/>
    <w:rsid w:val="008972D7"/>
    <w:rsid w:val="008B3E27"/>
    <w:rsid w:val="008B5B8D"/>
    <w:rsid w:val="008B647A"/>
    <w:rsid w:val="008C1AD1"/>
    <w:rsid w:val="008C53B0"/>
    <w:rsid w:val="00903187"/>
    <w:rsid w:val="00903833"/>
    <w:rsid w:val="00913F6B"/>
    <w:rsid w:val="00922855"/>
    <w:rsid w:val="00925AB1"/>
    <w:rsid w:val="009448F2"/>
    <w:rsid w:val="009548D1"/>
    <w:rsid w:val="00957A6A"/>
    <w:rsid w:val="00972B3C"/>
    <w:rsid w:val="009805EE"/>
    <w:rsid w:val="00984130"/>
    <w:rsid w:val="009946CE"/>
    <w:rsid w:val="00997BF5"/>
    <w:rsid w:val="009C38E7"/>
    <w:rsid w:val="009C675A"/>
    <w:rsid w:val="009D535D"/>
    <w:rsid w:val="009D5980"/>
    <w:rsid w:val="009E335C"/>
    <w:rsid w:val="009E76DB"/>
    <w:rsid w:val="00A012FD"/>
    <w:rsid w:val="00A03C88"/>
    <w:rsid w:val="00A05C98"/>
    <w:rsid w:val="00A06AF3"/>
    <w:rsid w:val="00A0722A"/>
    <w:rsid w:val="00A1664E"/>
    <w:rsid w:val="00A26B22"/>
    <w:rsid w:val="00A27057"/>
    <w:rsid w:val="00A35E55"/>
    <w:rsid w:val="00A36D07"/>
    <w:rsid w:val="00A37110"/>
    <w:rsid w:val="00A45B13"/>
    <w:rsid w:val="00A643C1"/>
    <w:rsid w:val="00A64814"/>
    <w:rsid w:val="00A74560"/>
    <w:rsid w:val="00A866BA"/>
    <w:rsid w:val="00A905D6"/>
    <w:rsid w:val="00A94339"/>
    <w:rsid w:val="00AA1EFD"/>
    <w:rsid w:val="00AC391C"/>
    <w:rsid w:val="00AF535D"/>
    <w:rsid w:val="00B01727"/>
    <w:rsid w:val="00B122F0"/>
    <w:rsid w:val="00B34E61"/>
    <w:rsid w:val="00B57669"/>
    <w:rsid w:val="00B70441"/>
    <w:rsid w:val="00B74C23"/>
    <w:rsid w:val="00B77BE6"/>
    <w:rsid w:val="00B87D5E"/>
    <w:rsid w:val="00BB53C2"/>
    <w:rsid w:val="00BF0495"/>
    <w:rsid w:val="00C26E08"/>
    <w:rsid w:val="00C412F8"/>
    <w:rsid w:val="00C4479B"/>
    <w:rsid w:val="00C46DB4"/>
    <w:rsid w:val="00C62A71"/>
    <w:rsid w:val="00C81582"/>
    <w:rsid w:val="00C8374E"/>
    <w:rsid w:val="00C874AC"/>
    <w:rsid w:val="00C93A52"/>
    <w:rsid w:val="00CA5DFF"/>
    <w:rsid w:val="00CC3A5B"/>
    <w:rsid w:val="00CC482D"/>
    <w:rsid w:val="00CD22D2"/>
    <w:rsid w:val="00CE6089"/>
    <w:rsid w:val="00CF1CDF"/>
    <w:rsid w:val="00CF64BF"/>
    <w:rsid w:val="00D01A91"/>
    <w:rsid w:val="00D07FB8"/>
    <w:rsid w:val="00D13170"/>
    <w:rsid w:val="00D209CF"/>
    <w:rsid w:val="00D26DAD"/>
    <w:rsid w:val="00D31ECF"/>
    <w:rsid w:val="00D36CFF"/>
    <w:rsid w:val="00D37E08"/>
    <w:rsid w:val="00D4403F"/>
    <w:rsid w:val="00D455C9"/>
    <w:rsid w:val="00D624FE"/>
    <w:rsid w:val="00D63CC9"/>
    <w:rsid w:val="00D6533B"/>
    <w:rsid w:val="00D700A8"/>
    <w:rsid w:val="00D72C93"/>
    <w:rsid w:val="00D827F5"/>
    <w:rsid w:val="00D8693B"/>
    <w:rsid w:val="00D87121"/>
    <w:rsid w:val="00DB5472"/>
    <w:rsid w:val="00DC24A5"/>
    <w:rsid w:val="00DD6B33"/>
    <w:rsid w:val="00DE3E1A"/>
    <w:rsid w:val="00DE4394"/>
    <w:rsid w:val="00E0286D"/>
    <w:rsid w:val="00E11D4A"/>
    <w:rsid w:val="00E35EAE"/>
    <w:rsid w:val="00E46492"/>
    <w:rsid w:val="00E63DEC"/>
    <w:rsid w:val="00E6642D"/>
    <w:rsid w:val="00E90588"/>
    <w:rsid w:val="00E93BC3"/>
    <w:rsid w:val="00EA075A"/>
    <w:rsid w:val="00EA18E3"/>
    <w:rsid w:val="00EB63FA"/>
    <w:rsid w:val="00EC5959"/>
    <w:rsid w:val="00ED0BED"/>
    <w:rsid w:val="00EE0040"/>
    <w:rsid w:val="00EE0FCE"/>
    <w:rsid w:val="00EE1FFB"/>
    <w:rsid w:val="00EF68D0"/>
    <w:rsid w:val="00F05BDD"/>
    <w:rsid w:val="00F15962"/>
    <w:rsid w:val="00F2184D"/>
    <w:rsid w:val="00F22619"/>
    <w:rsid w:val="00F3411C"/>
    <w:rsid w:val="00F36F61"/>
    <w:rsid w:val="00F46002"/>
    <w:rsid w:val="00F50A46"/>
    <w:rsid w:val="00F5328C"/>
    <w:rsid w:val="00F66DFB"/>
    <w:rsid w:val="00F70920"/>
    <w:rsid w:val="00FB1D0D"/>
    <w:rsid w:val="00FC1B5F"/>
    <w:rsid w:val="00FD1345"/>
    <w:rsid w:val="00FE736B"/>
    <w:rsid w:val="00FF4F8B"/>
    <w:rsid w:val="016B293A"/>
    <w:rsid w:val="0294027F"/>
    <w:rsid w:val="053B302A"/>
    <w:rsid w:val="062AC849"/>
    <w:rsid w:val="08456EC3"/>
    <w:rsid w:val="1C2CC60F"/>
    <w:rsid w:val="1D1EC4F8"/>
    <w:rsid w:val="2010D753"/>
    <w:rsid w:val="289293E6"/>
    <w:rsid w:val="2A90B299"/>
    <w:rsid w:val="2AAC1404"/>
    <w:rsid w:val="2E040899"/>
    <w:rsid w:val="30B9F5DE"/>
    <w:rsid w:val="331EE00F"/>
    <w:rsid w:val="34C0286F"/>
    <w:rsid w:val="34DB1DC0"/>
    <w:rsid w:val="374AFCF2"/>
    <w:rsid w:val="3A8C1C3F"/>
    <w:rsid w:val="4342695E"/>
    <w:rsid w:val="4493550F"/>
    <w:rsid w:val="44C51162"/>
    <w:rsid w:val="48F87CC4"/>
    <w:rsid w:val="4AAC0026"/>
    <w:rsid w:val="4D2D13A3"/>
    <w:rsid w:val="5186E30F"/>
    <w:rsid w:val="55DFDA3E"/>
    <w:rsid w:val="567A98E9"/>
    <w:rsid w:val="572112C0"/>
    <w:rsid w:val="5792D460"/>
    <w:rsid w:val="581AC374"/>
    <w:rsid w:val="5C2ECBC0"/>
    <w:rsid w:val="66581305"/>
    <w:rsid w:val="6FBB99B6"/>
    <w:rsid w:val="79CCAEF0"/>
    <w:rsid w:val="7A790340"/>
    <w:rsid w:val="7BBB5718"/>
    <w:rsid w:val="7F80E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3CFA6A"/>
  <w15:chartTrackingRefBased/>
  <w15:docId w15:val="{3AA117DE-9D70-4C45-8B08-550E3AD3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2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59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C59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C93"/>
    <w:rPr>
      <w:color w:val="0563C1" w:themeColor="hyperlink"/>
      <w:u w:val="single"/>
    </w:rPr>
  </w:style>
  <w:style w:type="character" w:styleId="UnresolvedMention">
    <w:name w:val="Unresolved Mention"/>
    <w:basedOn w:val="DefaultParagraphFont"/>
    <w:uiPriority w:val="99"/>
    <w:semiHidden/>
    <w:unhideWhenUsed/>
    <w:rsid w:val="00D72C93"/>
    <w:rPr>
      <w:color w:val="605E5C"/>
      <w:shd w:val="clear" w:color="auto" w:fill="E1DFDD"/>
    </w:rPr>
  </w:style>
  <w:style w:type="paragraph" w:styleId="ListParagraph">
    <w:name w:val="List Paragraph"/>
    <w:basedOn w:val="Normal"/>
    <w:uiPriority w:val="34"/>
    <w:qFormat/>
    <w:rsid w:val="00EC5959"/>
    <w:pPr>
      <w:ind w:left="720"/>
      <w:contextualSpacing/>
    </w:pPr>
  </w:style>
  <w:style w:type="character" w:customStyle="1" w:styleId="Heading2Char">
    <w:name w:val="Heading 2 Char"/>
    <w:basedOn w:val="DefaultParagraphFont"/>
    <w:link w:val="Heading2"/>
    <w:uiPriority w:val="9"/>
    <w:rsid w:val="00EC595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C595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DC24A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C24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4A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B5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5CD7"/>
    <w:rPr>
      <w:sz w:val="16"/>
      <w:szCs w:val="16"/>
    </w:rPr>
  </w:style>
  <w:style w:type="paragraph" w:styleId="CommentText">
    <w:name w:val="annotation text"/>
    <w:basedOn w:val="Normal"/>
    <w:link w:val="CommentTextChar"/>
    <w:uiPriority w:val="99"/>
    <w:semiHidden/>
    <w:unhideWhenUsed/>
    <w:rsid w:val="00305CD7"/>
    <w:pPr>
      <w:spacing w:line="240" w:lineRule="auto"/>
    </w:pPr>
    <w:rPr>
      <w:sz w:val="20"/>
      <w:szCs w:val="20"/>
    </w:rPr>
  </w:style>
  <w:style w:type="character" w:customStyle="1" w:styleId="CommentTextChar">
    <w:name w:val="Comment Text Char"/>
    <w:basedOn w:val="DefaultParagraphFont"/>
    <w:link w:val="CommentText"/>
    <w:uiPriority w:val="99"/>
    <w:semiHidden/>
    <w:rsid w:val="00305CD7"/>
    <w:rPr>
      <w:sz w:val="20"/>
      <w:szCs w:val="20"/>
    </w:rPr>
  </w:style>
  <w:style w:type="paragraph" w:styleId="CommentSubject">
    <w:name w:val="annotation subject"/>
    <w:basedOn w:val="CommentText"/>
    <w:next w:val="CommentText"/>
    <w:link w:val="CommentSubjectChar"/>
    <w:uiPriority w:val="99"/>
    <w:semiHidden/>
    <w:unhideWhenUsed/>
    <w:rsid w:val="00305CD7"/>
    <w:rPr>
      <w:b/>
      <w:bCs/>
    </w:rPr>
  </w:style>
  <w:style w:type="character" w:customStyle="1" w:styleId="CommentSubjectChar">
    <w:name w:val="Comment Subject Char"/>
    <w:basedOn w:val="CommentTextChar"/>
    <w:link w:val="CommentSubject"/>
    <w:uiPriority w:val="99"/>
    <w:semiHidden/>
    <w:rsid w:val="00305CD7"/>
    <w:rPr>
      <w:b/>
      <w:bCs/>
      <w:sz w:val="20"/>
      <w:szCs w:val="20"/>
    </w:rPr>
  </w:style>
  <w:style w:type="table" w:styleId="GridTable4-Accent5">
    <w:name w:val="Grid Table 4 Accent 5"/>
    <w:basedOn w:val="TableNormal"/>
    <w:uiPriority w:val="49"/>
    <w:rsid w:val="00503D8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503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D8F"/>
  </w:style>
  <w:style w:type="paragraph" w:styleId="Footer">
    <w:name w:val="footer"/>
    <w:basedOn w:val="Normal"/>
    <w:link w:val="FooterChar"/>
    <w:uiPriority w:val="99"/>
    <w:unhideWhenUsed/>
    <w:rsid w:val="00503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D8F"/>
  </w:style>
  <w:style w:type="paragraph" w:styleId="TOCHeading">
    <w:name w:val="TOC Heading"/>
    <w:basedOn w:val="Heading1"/>
    <w:next w:val="Normal"/>
    <w:uiPriority w:val="39"/>
    <w:unhideWhenUsed/>
    <w:qFormat/>
    <w:rsid w:val="0041198F"/>
    <w:pPr>
      <w:outlineLvl w:val="9"/>
    </w:pPr>
    <w:rPr>
      <w:lang w:eastAsia="en-US"/>
    </w:rPr>
  </w:style>
  <w:style w:type="paragraph" w:styleId="TOC1">
    <w:name w:val="toc 1"/>
    <w:basedOn w:val="Normal"/>
    <w:next w:val="Normal"/>
    <w:autoRedefine/>
    <w:uiPriority w:val="39"/>
    <w:unhideWhenUsed/>
    <w:rsid w:val="0041198F"/>
    <w:pPr>
      <w:spacing w:after="100"/>
    </w:pPr>
  </w:style>
  <w:style w:type="paragraph" w:styleId="TOC2">
    <w:name w:val="toc 2"/>
    <w:basedOn w:val="Normal"/>
    <w:next w:val="Normal"/>
    <w:autoRedefine/>
    <w:uiPriority w:val="39"/>
    <w:unhideWhenUsed/>
    <w:rsid w:val="0041198F"/>
    <w:pPr>
      <w:spacing w:after="100"/>
      <w:ind w:left="220"/>
    </w:pPr>
  </w:style>
  <w:style w:type="paragraph" w:styleId="TOC3">
    <w:name w:val="toc 3"/>
    <w:basedOn w:val="Normal"/>
    <w:next w:val="Normal"/>
    <w:autoRedefine/>
    <w:uiPriority w:val="39"/>
    <w:unhideWhenUsed/>
    <w:rsid w:val="0041198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48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wordpress.org/coding-standards/wordpress-coding-standards/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ogle.github.io/styleguide/javaguide.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ogle.github.io/styleguide/tsguide.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google.github.io/styleguide/jsguide.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oogle.github.io/styleguide/htmlcssguide.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Links>
    <vt:vector size="96" baseType="variant">
      <vt:variant>
        <vt:i4>6291565</vt:i4>
      </vt:variant>
      <vt:variant>
        <vt:i4>78</vt:i4>
      </vt:variant>
      <vt:variant>
        <vt:i4>0</vt:i4>
      </vt:variant>
      <vt:variant>
        <vt:i4>5</vt:i4>
      </vt:variant>
      <vt:variant>
        <vt:lpwstr>https://google.github.io/styleguide/shellguide.html</vt:lpwstr>
      </vt:variant>
      <vt:variant>
        <vt:lpwstr/>
      </vt:variant>
      <vt:variant>
        <vt:i4>6160454</vt:i4>
      </vt:variant>
      <vt:variant>
        <vt:i4>75</vt:i4>
      </vt:variant>
      <vt:variant>
        <vt:i4>0</vt:i4>
      </vt:variant>
      <vt:variant>
        <vt:i4>5</vt:i4>
      </vt:variant>
      <vt:variant>
        <vt:lpwstr>https://google.github.io/styleguide/tsguide.html</vt:lpwstr>
      </vt:variant>
      <vt:variant>
        <vt:lpwstr/>
      </vt:variant>
      <vt:variant>
        <vt:i4>6160472</vt:i4>
      </vt:variant>
      <vt:variant>
        <vt:i4>72</vt:i4>
      </vt:variant>
      <vt:variant>
        <vt:i4>0</vt:i4>
      </vt:variant>
      <vt:variant>
        <vt:i4>5</vt:i4>
      </vt:variant>
      <vt:variant>
        <vt:lpwstr>https://google.github.io/styleguide/jsguide.html</vt:lpwstr>
      </vt:variant>
      <vt:variant>
        <vt:lpwstr/>
      </vt:variant>
      <vt:variant>
        <vt:i4>983042</vt:i4>
      </vt:variant>
      <vt:variant>
        <vt:i4>69</vt:i4>
      </vt:variant>
      <vt:variant>
        <vt:i4>0</vt:i4>
      </vt:variant>
      <vt:variant>
        <vt:i4>5</vt:i4>
      </vt:variant>
      <vt:variant>
        <vt:lpwstr>https://google.github.io/styleguide/htmlcssguide.html</vt:lpwstr>
      </vt:variant>
      <vt:variant>
        <vt:lpwstr/>
      </vt:variant>
      <vt:variant>
        <vt:i4>655378</vt:i4>
      </vt:variant>
      <vt:variant>
        <vt:i4>66</vt:i4>
      </vt:variant>
      <vt:variant>
        <vt:i4>0</vt:i4>
      </vt:variant>
      <vt:variant>
        <vt:i4>5</vt:i4>
      </vt:variant>
      <vt:variant>
        <vt:lpwstr>https://developer.wordpress.org/coding-standards/wordpress-coding-standards/php/</vt:lpwstr>
      </vt:variant>
      <vt:variant>
        <vt:lpwstr/>
      </vt:variant>
      <vt:variant>
        <vt:i4>2949166</vt:i4>
      </vt:variant>
      <vt:variant>
        <vt:i4>63</vt:i4>
      </vt:variant>
      <vt:variant>
        <vt:i4>0</vt:i4>
      </vt:variant>
      <vt:variant>
        <vt:i4>5</vt:i4>
      </vt:variant>
      <vt:variant>
        <vt:lpwstr>https://google.github.io/styleguide/javaguide.html</vt:lpwstr>
      </vt:variant>
      <vt:variant>
        <vt:lpwstr/>
      </vt:variant>
      <vt:variant>
        <vt:i4>1048638</vt:i4>
      </vt:variant>
      <vt:variant>
        <vt:i4>56</vt:i4>
      </vt:variant>
      <vt:variant>
        <vt:i4>0</vt:i4>
      </vt:variant>
      <vt:variant>
        <vt:i4>5</vt:i4>
      </vt:variant>
      <vt:variant>
        <vt:lpwstr/>
      </vt:variant>
      <vt:variant>
        <vt:lpwstr>_Toc119424461</vt:lpwstr>
      </vt:variant>
      <vt:variant>
        <vt:i4>1048638</vt:i4>
      </vt:variant>
      <vt:variant>
        <vt:i4>50</vt:i4>
      </vt:variant>
      <vt:variant>
        <vt:i4>0</vt:i4>
      </vt:variant>
      <vt:variant>
        <vt:i4>5</vt:i4>
      </vt:variant>
      <vt:variant>
        <vt:lpwstr/>
      </vt:variant>
      <vt:variant>
        <vt:lpwstr>_Toc119424460</vt:lpwstr>
      </vt:variant>
      <vt:variant>
        <vt:i4>1245246</vt:i4>
      </vt:variant>
      <vt:variant>
        <vt:i4>44</vt:i4>
      </vt:variant>
      <vt:variant>
        <vt:i4>0</vt:i4>
      </vt:variant>
      <vt:variant>
        <vt:i4>5</vt:i4>
      </vt:variant>
      <vt:variant>
        <vt:lpwstr/>
      </vt:variant>
      <vt:variant>
        <vt:lpwstr>_Toc119424459</vt:lpwstr>
      </vt:variant>
      <vt:variant>
        <vt:i4>1245246</vt:i4>
      </vt:variant>
      <vt:variant>
        <vt:i4>38</vt:i4>
      </vt:variant>
      <vt:variant>
        <vt:i4>0</vt:i4>
      </vt:variant>
      <vt:variant>
        <vt:i4>5</vt:i4>
      </vt:variant>
      <vt:variant>
        <vt:lpwstr/>
      </vt:variant>
      <vt:variant>
        <vt:lpwstr>_Toc119424458</vt:lpwstr>
      </vt:variant>
      <vt:variant>
        <vt:i4>1245246</vt:i4>
      </vt:variant>
      <vt:variant>
        <vt:i4>32</vt:i4>
      </vt:variant>
      <vt:variant>
        <vt:i4>0</vt:i4>
      </vt:variant>
      <vt:variant>
        <vt:i4>5</vt:i4>
      </vt:variant>
      <vt:variant>
        <vt:lpwstr/>
      </vt:variant>
      <vt:variant>
        <vt:lpwstr>_Toc119424457</vt:lpwstr>
      </vt:variant>
      <vt:variant>
        <vt:i4>1245246</vt:i4>
      </vt:variant>
      <vt:variant>
        <vt:i4>26</vt:i4>
      </vt:variant>
      <vt:variant>
        <vt:i4>0</vt:i4>
      </vt:variant>
      <vt:variant>
        <vt:i4>5</vt:i4>
      </vt:variant>
      <vt:variant>
        <vt:lpwstr/>
      </vt:variant>
      <vt:variant>
        <vt:lpwstr>_Toc119424456</vt:lpwstr>
      </vt:variant>
      <vt:variant>
        <vt:i4>1245246</vt:i4>
      </vt:variant>
      <vt:variant>
        <vt:i4>20</vt:i4>
      </vt:variant>
      <vt:variant>
        <vt:i4>0</vt:i4>
      </vt:variant>
      <vt:variant>
        <vt:i4>5</vt:i4>
      </vt:variant>
      <vt:variant>
        <vt:lpwstr/>
      </vt:variant>
      <vt:variant>
        <vt:lpwstr>_Toc119424455</vt:lpwstr>
      </vt:variant>
      <vt:variant>
        <vt:i4>1245246</vt:i4>
      </vt:variant>
      <vt:variant>
        <vt:i4>14</vt:i4>
      </vt:variant>
      <vt:variant>
        <vt:i4>0</vt:i4>
      </vt:variant>
      <vt:variant>
        <vt:i4>5</vt:i4>
      </vt:variant>
      <vt:variant>
        <vt:lpwstr/>
      </vt:variant>
      <vt:variant>
        <vt:lpwstr>_Toc119424454</vt:lpwstr>
      </vt:variant>
      <vt:variant>
        <vt:i4>1245246</vt:i4>
      </vt:variant>
      <vt:variant>
        <vt:i4>8</vt:i4>
      </vt:variant>
      <vt:variant>
        <vt:i4>0</vt:i4>
      </vt:variant>
      <vt:variant>
        <vt:i4>5</vt:i4>
      </vt:variant>
      <vt:variant>
        <vt:lpwstr/>
      </vt:variant>
      <vt:variant>
        <vt:lpwstr>_Toc119424453</vt:lpwstr>
      </vt:variant>
      <vt:variant>
        <vt:i4>1245246</vt:i4>
      </vt:variant>
      <vt:variant>
        <vt:i4>2</vt:i4>
      </vt:variant>
      <vt:variant>
        <vt:i4>0</vt:i4>
      </vt:variant>
      <vt:variant>
        <vt:i4>5</vt:i4>
      </vt:variant>
      <vt:variant>
        <vt:lpwstr/>
      </vt:variant>
      <vt:variant>
        <vt:lpwstr>_Toc119424452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Ryan J.</dc:creator>
  <cp:keywords/>
  <dc:description/>
  <cp:lastModifiedBy>Tranor, Vic</cp:lastModifiedBy>
  <cp:revision>2</cp:revision>
  <dcterms:created xsi:type="dcterms:W3CDTF">2024-08-16T16:59:00Z</dcterms:created>
  <dcterms:modified xsi:type="dcterms:W3CDTF">2024-08-16T16:59:00Z</dcterms:modified>
</cp:coreProperties>
</file>