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CC383" w14:textId="456B5CA4" w:rsidR="00C011DD" w:rsidRDefault="00DD4B4F" w:rsidP="009924FB">
      <w:pPr>
        <w:pStyle w:val="Heading2"/>
      </w:pPr>
      <w:bookmarkStart w:id="0" w:name="_Toc477955210"/>
      <w:r>
        <w:t>A</w:t>
      </w:r>
      <w:r w:rsidR="00C17315">
        <w:t>ttachment 3</w:t>
      </w:r>
      <w:r w:rsidR="00651076">
        <w:t>7</w:t>
      </w:r>
      <w:r w:rsidR="00C17315">
        <w:t>:</w:t>
      </w:r>
      <w:r w:rsidR="00780B81">
        <w:t xml:space="preserve">  </w:t>
      </w:r>
      <w:bookmarkStart w:id="1" w:name="_GoBack"/>
      <w:bookmarkEnd w:id="1"/>
      <w:r w:rsidR="00C17315">
        <w:t xml:space="preserve"> Definitions </w:t>
      </w:r>
      <w:r w:rsidR="00780B81">
        <w:t>a</w:t>
      </w:r>
      <w:r w:rsidR="00C17315">
        <w:t>nd Acronyms</w:t>
      </w:r>
      <w:bookmarkEnd w:id="0"/>
    </w:p>
    <w:p w14:paraId="11E54060" w14:textId="77777777" w:rsidR="00147D24" w:rsidRDefault="00147D24" w:rsidP="004D3B71">
      <w:pPr>
        <w:rPr>
          <w:rFonts w:cs="Arial"/>
          <w:b/>
          <w:u w:val="single"/>
        </w:rPr>
      </w:pPr>
    </w:p>
    <w:p w14:paraId="22E356CD" w14:textId="0F5CD418" w:rsidR="00C011DD" w:rsidRDefault="0014314A" w:rsidP="009924FB">
      <w:pPr>
        <w:pStyle w:val="Heading3"/>
        <w:jc w:val="center"/>
      </w:pPr>
      <w:bookmarkStart w:id="2" w:name="_Toc477955211"/>
      <w:r>
        <w:t>Definitions</w:t>
      </w:r>
      <w:bookmarkEnd w:id="2"/>
    </w:p>
    <w:p w14:paraId="0685CB98" w14:textId="77777777" w:rsidR="004D3B71" w:rsidRDefault="004D3B71" w:rsidP="004D3B71">
      <w:pPr>
        <w:rPr>
          <w:rFonts w:cs="Arial"/>
        </w:rPr>
      </w:pPr>
    </w:p>
    <w:p w14:paraId="55E046E1" w14:textId="4F92EAED" w:rsidR="004D3B71" w:rsidRPr="00807D82" w:rsidRDefault="004D3B71" w:rsidP="004D3B71">
      <w:pPr>
        <w:jc w:val="both"/>
        <w:rPr>
          <w:rFonts w:cs="Arial"/>
          <w:sz w:val="24"/>
          <w:szCs w:val="24"/>
        </w:rPr>
      </w:pPr>
      <w:r w:rsidRPr="00807D82">
        <w:rPr>
          <w:rFonts w:cs="Arial"/>
          <w:sz w:val="24"/>
          <w:szCs w:val="24"/>
        </w:rPr>
        <w:t xml:space="preserve">All terms used in this guidance document have the meanings set forth </w:t>
      </w:r>
      <w:r w:rsidRPr="00A67BCA">
        <w:rPr>
          <w:rFonts w:cs="Arial"/>
          <w:sz w:val="24"/>
          <w:szCs w:val="24"/>
        </w:rPr>
        <w:t>in</w:t>
      </w:r>
      <w:r w:rsidR="00F544A5" w:rsidRPr="00A67BCA">
        <w:rPr>
          <w:rFonts w:cs="Arial"/>
          <w:sz w:val="24"/>
          <w:szCs w:val="24"/>
        </w:rPr>
        <w:t xml:space="preserve"> Chapter 62-780, F.A.C.,</w:t>
      </w:r>
      <w:r w:rsidRPr="00560C53">
        <w:rPr>
          <w:rFonts w:cs="Arial"/>
          <w:color w:val="FF0000"/>
          <w:sz w:val="24"/>
          <w:szCs w:val="24"/>
        </w:rPr>
        <w:t xml:space="preserve"> </w:t>
      </w:r>
      <w:r w:rsidRPr="00807D82">
        <w:rPr>
          <w:rFonts w:cs="Arial"/>
          <w:sz w:val="24"/>
          <w:szCs w:val="24"/>
        </w:rPr>
        <w:t xml:space="preserve">or applicable provisions of Chapter 376, Fla. Stat. </w:t>
      </w:r>
    </w:p>
    <w:p w14:paraId="180C1C94" w14:textId="77777777" w:rsidR="004D3B71" w:rsidRPr="00807D82" w:rsidRDefault="004D3B71" w:rsidP="004D3B71">
      <w:pPr>
        <w:rPr>
          <w:rFonts w:cs="Arial"/>
          <w:sz w:val="24"/>
          <w:szCs w:val="24"/>
        </w:rPr>
      </w:pPr>
    </w:p>
    <w:p w14:paraId="23B11064" w14:textId="77777777" w:rsidR="004D3B71" w:rsidRPr="00807D82" w:rsidRDefault="004D3B71" w:rsidP="004D3B71">
      <w:pPr>
        <w:rPr>
          <w:rFonts w:cs="Arial"/>
          <w:sz w:val="24"/>
          <w:szCs w:val="24"/>
        </w:rPr>
      </w:pPr>
      <w:r w:rsidRPr="00807D82">
        <w:rPr>
          <w:rFonts w:cs="Arial"/>
          <w:sz w:val="24"/>
          <w:szCs w:val="24"/>
        </w:rPr>
        <w:t>The following additional terms are defined for the purpose of this guidance document:</w:t>
      </w:r>
    </w:p>
    <w:p w14:paraId="5ACE8FC3" w14:textId="77777777" w:rsidR="004D3B71" w:rsidRPr="00807D82" w:rsidRDefault="004D3B71" w:rsidP="004D3B71">
      <w:pPr>
        <w:rPr>
          <w:rFonts w:cs="Arial"/>
          <w:sz w:val="24"/>
          <w:szCs w:val="24"/>
        </w:rPr>
      </w:pPr>
    </w:p>
    <w:p w14:paraId="416E17F6" w14:textId="77777777" w:rsidR="004D3B71" w:rsidRPr="00807D82" w:rsidRDefault="004D3B71" w:rsidP="004D3B71">
      <w:pPr>
        <w:jc w:val="both"/>
        <w:rPr>
          <w:rFonts w:cs="Arial"/>
          <w:sz w:val="24"/>
          <w:szCs w:val="24"/>
        </w:rPr>
      </w:pPr>
      <w:r w:rsidRPr="00807D82">
        <w:rPr>
          <w:rFonts w:cs="Arial"/>
          <w:b/>
          <w:sz w:val="24"/>
          <w:szCs w:val="24"/>
        </w:rPr>
        <w:t>Conservation Easement</w:t>
      </w:r>
      <w:r w:rsidRPr="00807D82">
        <w:rPr>
          <w:rFonts w:cs="Arial"/>
          <w:sz w:val="24"/>
          <w:szCs w:val="24"/>
        </w:rPr>
        <w:t>.  A “right or interest in real property which is appropriate to retaining land or water areas predominantly in their natural, scenic, open, agricultural, or wooded condition; retaining such areas as suitable habitat for fish, plants, or wildlife; retaining the structural integrity or physical appearance of sites or properties of historical, architectural, archeological, or cultural significance; or maintaining existing land uses “and which prohibit or limit certain uses</w:t>
      </w:r>
      <w:r w:rsidR="00CD04D2">
        <w:rPr>
          <w:rFonts w:cs="Arial"/>
          <w:sz w:val="24"/>
          <w:szCs w:val="24"/>
        </w:rPr>
        <w:t>.</w:t>
      </w:r>
      <w:r w:rsidRPr="00807D82">
        <w:rPr>
          <w:rFonts w:cs="Arial"/>
          <w:sz w:val="24"/>
          <w:szCs w:val="24"/>
        </w:rPr>
        <w:t xml:space="preserve"> </w:t>
      </w:r>
      <w:r w:rsidR="00961FC7" w:rsidRPr="00807D82">
        <w:rPr>
          <w:rFonts w:cs="Arial"/>
          <w:sz w:val="24"/>
          <w:szCs w:val="24"/>
        </w:rPr>
        <w:t xml:space="preserve"> </w:t>
      </w:r>
      <w:r w:rsidRPr="00807D82">
        <w:rPr>
          <w:rFonts w:cs="Arial"/>
          <w:sz w:val="24"/>
          <w:szCs w:val="24"/>
        </w:rPr>
        <w:t>See Section 704.06, Fla. Stat.</w:t>
      </w:r>
    </w:p>
    <w:p w14:paraId="379A1654" w14:textId="77777777" w:rsidR="00961FC7" w:rsidRPr="00807D82" w:rsidRDefault="00961FC7" w:rsidP="004D3B71">
      <w:pPr>
        <w:jc w:val="both"/>
        <w:rPr>
          <w:rFonts w:cs="Arial"/>
          <w:b/>
          <w:sz w:val="24"/>
          <w:szCs w:val="24"/>
        </w:rPr>
      </w:pPr>
    </w:p>
    <w:p w14:paraId="2D5765D0" w14:textId="77777777" w:rsidR="004D3B71" w:rsidRPr="00807D82" w:rsidRDefault="004D3B71" w:rsidP="004D3B71">
      <w:pPr>
        <w:jc w:val="both"/>
        <w:rPr>
          <w:rFonts w:cs="Arial"/>
          <w:color w:val="000000"/>
          <w:sz w:val="24"/>
          <w:szCs w:val="24"/>
        </w:rPr>
      </w:pPr>
      <w:r w:rsidRPr="00807D82">
        <w:rPr>
          <w:rFonts w:cs="Arial"/>
          <w:b/>
          <w:sz w:val="24"/>
          <w:szCs w:val="24"/>
        </w:rPr>
        <w:t>Deed Restriction</w:t>
      </w:r>
      <w:r w:rsidRPr="00807D82">
        <w:rPr>
          <w:rFonts w:cs="Arial"/>
          <w:sz w:val="24"/>
          <w:szCs w:val="24"/>
        </w:rPr>
        <w:t xml:space="preserve">.  A clause in a </w:t>
      </w:r>
      <w:r w:rsidRPr="00807D82">
        <w:rPr>
          <w:rFonts w:cs="Arial"/>
          <w:color w:val="000000"/>
          <w:sz w:val="24"/>
          <w:szCs w:val="24"/>
        </w:rPr>
        <w:t xml:space="preserve">deed included by the seller that restricts future use of the land in a manner specified in the deed. </w:t>
      </w:r>
    </w:p>
    <w:p w14:paraId="0CE9B97A" w14:textId="77777777" w:rsidR="00961FC7" w:rsidRPr="00807D82" w:rsidRDefault="00961FC7" w:rsidP="004D3B71">
      <w:pPr>
        <w:jc w:val="both"/>
        <w:rPr>
          <w:rFonts w:cs="Arial"/>
          <w:b/>
          <w:color w:val="000000"/>
          <w:sz w:val="24"/>
          <w:szCs w:val="24"/>
        </w:rPr>
      </w:pPr>
    </w:p>
    <w:p w14:paraId="7D7D39C9" w14:textId="77777777" w:rsidR="004D3B71" w:rsidRPr="00807D82" w:rsidRDefault="004D3B71" w:rsidP="004D3B71">
      <w:pPr>
        <w:jc w:val="both"/>
        <w:rPr>
          <w:rFonts w:cs="Arial"/>
          <w:color w:val="000000"/>
          <w:sz w:val="24"/>
          <w:szCs w:val="24"/>
        </w:rPr>
      </w:pPr>
      <w:r w:rsidRPr="00807D82">
        <w:rPr>
          <w:rFonts w:cs="Arial"/>
          <w:b/>
          <w:color w:val="000000"/>
          <w:sz w:val="24"/>
          <w:szCs w:val="24"/>
        </w:rPr>
        <w:t>Easement.</w:t>
      </w:r>
      <w:r w:rsidRPr="00807D82">
        <w:rPr>
          <w:rFonts w:cs="Arial"/>
          <w:color w:val="000000"/>
          <w:sz w:val="24"/>
          <w:szCs w:val="24"/>
        </w:rPr>
        <w:t xml:space="preserve"> </w:t>
      </w:r>
      <w:r w:rsidR="00CD04D2">
        <w:rPr>
          <w:rFonts w:cs="Arial"/>
          <w:color w:val="000000"/>
          <w:sz w:val="24"/>
          <w:szCs w:val="24"/>
        </w:rPr>
        <w:t xml:space="preserve"> </w:t>
      </w:r>
      <w:r w:rsidRPr="00807D82">
        <w:rPr>
          <w:rFonts w:cs="Arial"/>
          <w:color w:val="000000"/>
          <w:sz w:val="24"/>
          <w:szCs w:val="24"/>
        </w:rPr>
        <w:t>An interest in land owned by another person, consisting in the right to use or control the land, or an area above or below it, for a specific limited purpose (for example, for access).</w:t>
      </w:r>
    </w:p>
    <w:p w14:paraId="481EC443" w14:textId="77777777" w:rsidR="00961FC7" w:rsidRPr="00807D82" w:rsidRDefault="00961FC7" w:rsidP="004D3B71">
      <w:pPr>
        <w:jc w:val="both"/>
        <w:rPr>
          <w:rFonts w:cs="Arial"/>
          <w:b/>
          <w:color w:val="000000"/>
          <w:sz w:val="24"/>
          <w:szCs w:val="24"/>
        </w:rPr>
      </w:pPr>
    </w:p>
    <w:p w14:paraId="5F5C1C13" w14:textId="77777777" w:rsidR="00147D24" w:rsidRPr="00807D82" w:rsidRDefault="00262C17" w:rsidP="004D3B71">
      <w:pPr>
        <w:jc w:val="both"/>
        <w:rPr>
          <w:rFonts w:cs="Arial"/>
          <w:sz w:val="24"/>
          <w:szCs w:val="24"/>
        </w:rPr>
      </w:pPr>
      <w:r w:rsidRPr="00807D82">
        <w:rPr>
          <w:rFonts w:cs="Arial"/>
          <w:b/>
          <w:color w:val="000000"/>
          <w:sz w:val="24"/>
          <w:szCs w:val="24"/>
        </w:rPr>
        <w:t>Encumbrance</w:t>
      </w:r>
      <w:r w:rsidR="00147D24" w:rsidRPr="00807D82">
        <w:rPr>
          <w:rFonts w:cs="Arial"/>
          <w:b/>
          <w:color w:val="000000"/>
          <w:sz w:val="24"/>
          <w:szCs w:val="24"/>
        </w:rPr>
        <w:t xml:space="preserve">.  </w:t>
      </w:r>
      <w:r w:rsidR="00147D24" w:rsidRPr="00807D82">
        <w:rPr>
          <w:rFonts w:cs="Arial"/>
          <w:color w:val="000000"/>
          <w:sz w:val="24"/>
          <w:szCs w:val="24"/>
        </w:rPr>
        <w:t xml:space="preserve">A lien on the title applicable to a particular parcel of </w:t>
      </w:r>
      <w:r w:rsidR="00961FC7" w:rsidRPr="00807D82">
        <w:rPr>
          <w:rFonts w:cs="Arial"/>
          <w:color w:val="000000"/>
          <w:sz w:val="24"/>
          <w:szCs w:val="24"/>
        </w:rPr>
        <w:t xml:space="preserve">real </w:t>
      </w:r>
      <w:r w:rsidR="00147D24" w:rsidRPr="00807D82">
        <w:rPr>
          <w:rFonts w:cs="Arial"/>
          <w:color w:val="000000"/>
          <w:sz w:val="24"/>
          <w:szCs w:val="24"/>
        </w:rPr>
        <w:t>property.</w:t>
      </w:r>
    </w:p>
    <w:p w14:paraId="6BADE7A8" w14:textId="77777777" w:rsidR="00961FC7" w:rsidRPr="00807D82" w:rsidRDefault="00961FC7" w:rsidP="004D3B71">
      <w:pPr>
        <w:jc w:val="both"/>
        <w:rPr>
          <w:rFonts w:cs="Arial"/>
          <w:b/>
          <w:sz w:val="24"/>
          <w:szCs w:val="24"/>
        </w:rPr>
      </w:pPr>
    </w:p>
    <w:p w14:paraId="099D014F" w14:textId="77777777" w:rsidR="004D3B71" w:rsidRPr="00807D82" w:rsidRDefault="004D3B71" w:rsidP="004D3B71">
      <w:pPr>
        <w:jc w:val="both"/>
        <w:rPr>
          <w:rFonts w:cs="Arial"/>
          <w:sz w:val="24"/>
          <w:szCs w:val="24"/>
        </w:rPr>
      </w:pPr>
      <w:r w:rsidRPr="00807D82">
        <w:rPr>
          <w:rFonts w:cs="Arial"/>
          <w:b/>
          <w:sz w:val="24"/>
          <w:szCs w:val="24"/>
        </w:rPr>
        <w:t>Encumbrance Map</w:t>
      </w:r>
      <w:r w:rsidRPr="00807D82">
        <w:rPr>
          <w:rFonts w:cs="Arial"/>
          <w:sz w:val="24"/>
          <w:szCs w:val="24"/>
        </w:rPr>
        <w:t>.  A</w:t>
      </w:r>
      <w:r w:rsidRPr="00807D82">
        <w:rPr>
          <w:rFonts w:cs="Arial"/>
          <w:iCs/>
          <w:sz w:val="24"/>
          <w:szCs w:val="24"/>
        </w:rPr>
        <w:t xml:space="preserve"> </w:t>
      </w:r>
      <w:r w:rsidR="00C011DD" w:rsidRPr="00807D82">
        <w:rPr>
          <w:rFonts w:cs="Arial"/>
          <w:iCs/>
          <w:sz w:val="24"/>
          <w:szCs w:val="24"/>
        </w:rPr>
        <w:t xml:space="preserve">scaled and </w:t>
      </w:r>
      <w:r w:rsidRPr="00807D82">
        <w:rPr>
          <w:rFonts w:cs="Arial"/>
          <w:iCs/>
          <w:sz w:val="24"/>
          <w:szCs w:val="24"/>
        </w:rPr>
        <w:t>labeled map, diagram, or survey showing the locations of all encumbrances identified in the Title Report relative to the proposed areas to be restricted by the restrictive covenant.  (See Attachment 14 for example).</w:t>
      </w:r>
    </w:p>
    <w:p w14:paraId="6747EF1E" w14:textId="77777777" w:rsidR="00961FC7" w:rsidRPr="001B1606" w:rsidRDefault="00961FC7" w:rsidP="004D3B71">
      <w:pPr>
        <w:jc w:val="both"/>
        <w:rPr>
          <w:rFonts w:cs="Arial"/>
          <w:b/>
          <w:sz w:val="24"/>
          <w:szCs w:val="24"/>
        </w:rPr>
      </w:pPr>
    </w:p>
    <w:p w14:paraId="4DAD2D4F" w14:textId="77777777" w:rsidR="004D3B71" w:rsidRPr="00CD04D2" w:rsidRDefault="004D3B71" w:rsidP="004D3B71">
      <w:pPr>
        <w:jc w:val="both"/>
        <w:rPr>
          <w:rFonts w:cs="Arial"/>
          <w:color w:val="595959" w:themeColor="text1" w:themeTint="A6"/>
          <w:sz w:val="24"/>
          <w:szCs w:val="24"/>
        </w:rPr>
      </w:pPr>
      <w:r w:rsidRPr="00807D82">
        <w:rPr>
          <w:rFonts w:cs="Arial"/>
          <w:b/>
          <w:sz w:val="24"/>
          <w:szCs w:val="24"/>
        </w:rPr>
        <w:t>Engineering Controls (EC)</w:t>
      </w:r>
      <w:r w:rsidRPr="00807D82">
        <w:rPr>
          <w:rFonts w:cs="Arial"/>
          <w:sz w:val="24"/>
          <w:szCs w:val="24"/>
        </w:rPr>
        <w:t xml:space="preserve">.  </w:t>
      </w:r>
      <w:r w:rsidR="00CD04D2" w:rsidRPr="00CD04D2">
        <w:rPr>
          <w:rFonts w:cs="Arial"/>
          <w:color w:val="595959" w:themeColor="text1" w:themeTint="A6"/>
          <w:sz w:val="24"/>
          <w:szCs w:val="24"/>
        </w:rPr>
        <w:t>“</w:t>
      </w:r>
      <w:r w:rsidRPr="00807D82">
        <w:rPr>
          <w:rFonts w:cs="Arial"/>
          <w:sz w:val="24"/>
          <w:szCs w:val="24"/>
        </w:rPr>
        <w:t xml:space="preserve">Engineering control” means use of existing features (such as buildings) or modifications to a site to reduce or eliminate the potential for migration of, or exposure to, contaminants. </w:t>
      </w:r>
      <w:r w:rsidR="00CD04D2">
        <w:rPr>
          <w:rFonts w:cs="Arial"/>
          <w:sz w:val="24"/>
          <w:szCs w:val="24"/>
        </w:rPr>
        <w:t xml:space="preserve"> </w:t>
      </w:r>
      <w:r w:rsidRPr="00807D82">
        <w:rPr>
          <w:rFonts w:cs="Arial"/>
          <w:sz w:val="24"/>
          <w:szCs w:val="24"/>
        </w:rPr>
        <w:t>Examples of modifications include physical or hydraulic control measures, capping, point</w:t>
      </w:r>
      <w:r w:rsidRPr="00807D82">
        <w:rPr>
          <w:rFonts w:cs="Arial"/>
          <w:sz w:val="24"/>
          <w:szCs w:val="24"/>
        </w:rPr>
        <w:noBreakHyphen/>
        <w:t>of</w:t>
      </w:r>
      <w:r w:rsidRPr="00807D82">
        <w:rPr>
          <w:rFonts w:cs="Arial"/>
          <w:sz w:val="24"/>
          <w:szCs w:val="24"/>
        </w:rPr>
        <w:noBreakHyphen/>
        <w:t>use treatments, or slurry walls.</w:t>
      </w:r>
      <w:r w:rsidR="00961FC7" w:rsidRPr="00807D82">
        <w:rPr>
          <w:rFonts w:cs="Arial"/>
          <w:sz w:val="24"/>
          <w:szCs w:val="24"/>
        </w:rPr>
        <w:t xml:space="preserve">  See Section</w:t>
      </w:r>
      <w:r w:rsidRPr="00807D82">
        <w:rPr>
          <w:rFonts w:cs="Arial"/>
          <w:sz w:val="24"/>
          <w:szCs w:val="24"/>
        </w:rPr>
        <w:t xml:space="preserve"> 62-780.200(</w:t>
      </w:r>
      <w:r w:rsidR="00A67BCA">
        <w:rPr>
          <w:rFonts w:cs="Arial"/>
          <w:sz w:val="24"/>
          <w:szCs w:val="24"/>
        </w:rPr>
        <w:t>14</w:t>
      </w:r>
      <w:r w:rsidRPr="00807D82">
        <w:rPr>
          <w:rFonts w:cs="Arial"/>
          <w:sz w:val="24"/>
          <w:szCs w:val="24"/>
        </w:rPr>
        <w:t>), F</w:t>
      </w:r>
      <w:r w:rsidR="00F544A5" w:rsidRPr="00A67BCA">
        <w:rPr>
          <w:rFonts w:cs="Arial"/>
          <w:color w:val="C00000"/>
          <w:sz w:val="24"/>
          <w:szCs w:val="24"/>
        </w:rPr>
        <w:t>.</w:t>
      </w:r>
      <w:r w:rsidRPr="00A67BCA">
        <w:rPr>
          <w:rFonts w:cs="Arial"/>
          <w:sz w:val="24"/>
          <w:szCs w:val="24"/>
        </w:rPr>
        <w:t>A</w:t>
      </w:r>
      <w:r w:rsidR="00F544A5" w:rsidRPr="00A67BCA">
        <w:rPr>
          <w:rFonts w:cs="Arial"/>
          <w:color w:val="C00000"/>
          <w:sz w:val="24"/>
          <w:szCs w:val="24"/>
        </w:rPr>
        <w:t>.</w:t>
      </w:r>
      <w:r w:rsidRPr="00A67BCA">
        <w:rPr>
          <w:rFonts w:cs="Arial"/>
          <w:sz w:val="24"/>
          <w:szCs w:val="24"/>
        </w:rPr>
        <w:t>C</w:t>
      </w:r>
      <w:r w:rsidR="00F544A5" w:rsidRPr="00A67BCA">
        <w:rPr>
          <w:rFonts w:cs="Arial"/>
          <w:color w:val="C00000"/>
          <w:sz w:val="24"/>
          <w:szCs w:val="24"/>
        </w:rPr>
        <w:t>.</w:t>
      </w:r>
    </w:p>
    <w:p w14:paraId="07B0209F" w14:textId="77777777" w:rsidR="004D3B71" w:rsidRPr="00807D82" w:rsidRDefault="004D3B71" w:rsidP="004D3B71">
      <w:pPr>
        <w:jc w:val="both"/>
        <w:rPr>
          <w:rFonts w:cs="Arial"/>
          <w:sz w:val="24"/>
          <w:szCs w:val="24"/>
        </w:rPr>
      </w:pPr>
    </w:p>
    <w:p w14:paraId="0AE01CFA" w14:textId="77777777" w:rsidR="004D3B71" w:rsidRPr="00CD04D2" w:rsidRDefault="004D3B71" w:rsidP="004D3B71">
      <w:pPr>
        <w:jc w:val="both"/>
        <w:rPr>
          <w:rFonts w:cs="Arial"/>
          <w:color w:val="595959" w:themeColor="text1" w:themeTint="A6"/>
          <w:sz w:val="24"/>
          <w:szCs w:val="24"/>
        </w:rPr>
      </w:pPr>
      <w:r w:rsidRPr="00807D82">
        <w:rPr>
          <w:rFonts w:cs="Arial"/>
          <w:b/>
          <w:sz w:val="24"/>
          <w:szCs w:val="24"/>
        </w:rPr>
        <w:t>Institutional Control (IC)</w:t>
      </w:r>
      <w:r w:rsidRPr="00807D82">
        <w:rPr>
          <w:rFonts w:cs="Arial"/>
          <w:sz w:val="24"/>
          <w:szCs w:val="24"/>
        </w:rPr>
        <w:t>.  “[T]he restriction on use or access to a site to eliminate or minimize exposure to petroleum products' chemicals of concern, drycleaning solvents, or other contaminants.  Such restrictions may include, but are not limited to, deed restrictions, restrictive covenants or conservation easements.”  See Sections 376.301(22) and 376.79(10), Fla. Stat.</w:t>
      </w:r>
    </w:p>
    <w:p w14:paraId="52C4528C" w14:textId="77777777" w:rsidR="00961FC7" w:rsidRPr="00807D82" w:rsidRDefault="00961FC7" w:rsidP="004D3B71">
      <w:pPr>
        <w:jc w:val="both"/>
        <w:rPr>
          <w:rFonts w:cs="Arial"/>
          <w:b/>
          <w:sz w:val="24"/>
          <w:szCs w:val="24"/>
        </w:rPr>
      </w:pPr>
    </w:p>
    <w:p w14:paraId="77F6BB57" w14:textId="04BD2F20" w:rsidR="00F1217B" w:rsidRPr="00F1217B" w:rsidRDefault="004D3B71" w:rsidP="00FE0E4A">
      <w:pPr>
        <w:jc w:val="both"/>
        <w:rPr>
          <w:sz w:val="24"/>
          <w:szCs w:val="24"/>
        </w:rPr>
      </w:pPr>
      <w:r w:rsidRPr="00807D82">
        <w:rPr>
          <w:rFonts w:cs="Arial"/>
          <w:b/>
          <w:sz w:val="24"/>
          <w:szCs w:val="24"/>
        </w:rPr>
        <w:t>Institutional Control Registry (ICR)</w:t>
      </w:r>
      <w:r w:rsidRPr="00807D82">
        <w:rPr>
          <w:rFonts w:cs="Arial"/>
          <w:sz w:val="24"/>
          <w:szCs w:val="24"/>
        </w:rPr>
        <w:t xml:space="preserve">.  A registry of </w:t>
      </w:r>
      <w:r w:rsidR="00C011DD" w:rsidRPr="00807D82">
        <w:rPr>
          <w:rFonts w:cs="Arial"/>
          <w:sz w:val="24"/>
          <w:szCs w:val="24"/>
        </w:rPr>
        <w:t>real</w:t>
      </w:r>
      <w:r w:rsidRPr="00807D82">
        <w:rPr>
          <w:rFonts w:cs="Arial"/>
          <w:sz w:val="24"/>
          <w:szCs w:val="24"/>
        </w:rPr>
        <w:t xml:space="preserve"> </w:t>
      </w:r>
      <w:r w:rsidR="00C011DD" w:rsidRPr="00807D82">
        <w:rPr>
          <w:rFonts w:cs="Arial"/>
          <w:sz w:val="24"/>
          <w:szCs w:val="24"/>
        </w:rPr>
        <w:t xml:space="preserve">properties </w:t>
      </w:r>
      <w:r w:rsidRPr="00807D82">
        <w:rPr>
          <w:rFonts w:cs="Arial"/>
          <w:sz w:val="24"/>
          <w:szCs w:val="24"/>
        </w:rPr>
        <w:t>prepared by FDEP to assist with tracking those properties upon which an institutional control has been imposed pursuant to the provisions contained in Chapters 376</w:t>
      </w:r>
      <w:r w:rsidR="00760465">
        <w:rPr>
          <w:rFonts w:cs="Arial"/>
          <w:sz w:val="24"/>
          <w:szCs w:val="24"/>
        </w:rPr>
        <w:t xml:space="preserve"> </w:t>
      </w:r>
      <w:r w:rsidRPr="00807D82">
        <w:rPr>
          <w:rFonts w:cs="Arial"/>
          <w:sz w:val="24"/>
          <w:szCs w:val="24"/>
        </w:rPr>
        <w:t>or</w:t>
      </w:r>
      <w:r w:rsidR="00760465">
        <w:rPr>
          <w:rFonts w:cs="Arial"/>
          <w:sz w:val="24"/>
          <w:szCs w:val="24"/>
        </w:rPr>
        <w:t xml:space="preserve"> </w:t>
      </w:r>
      <w:r w:rsidRPr="00807D82">
        <w:rPr>
          <w:rFonts w:cs="Arial"/>
          <w:sz w:val="24"/>
          <w:szCs w:val="24"/>
        </w:rPr>
        <w:t>403,</w:t>
      </w:r>
      <w:r w:rsidR="00760465">
        <w:rPr>
          <w:rFonts w:cs="Arial"/>
          <w:sz w:val="24"/>
          <w:szCs w:val="24"/>
        </w:rPr>
        <w:t xml:space="preserve"> </w:t>
      </w:r>
      <w:r w:rsidRPr="00807D82">
        <w:rPr>
          <w:rFonts w:cs="Arial"/>
          <w:sz w:val="24"/>
          <w:szCs w:val="24"/>
        </w:rPr>
        <w:t>F.S.</w:t>
      </w:r>
      <w:r w:rsidR="00A84117">
        <w:rPr>
          <w:rFonts w:cs="Arial"/>
          <w:sz w:val="24"/>
          <w:szCs w:val="24"/>
        </w:rPr>
        <w:t xml:space="preserve"> </w:t>
      </w:r>
      <w:r w:rsidR="001C21A5" w:rsidRPr="00A67BCA">
        <w:rPr>
          <w:rFonts w:cs="Arial"/>
          <w:sz w:val="24"/>
          <w:szCs w:val="24"/>
        </w:rPr>
        <w:t xml:space="preserve">and to allow the public and local governments to monitor the status of those controls. </w:t>
      </w:r>
      <w:r w:rsidR="00CD04D2">
        <w:rPr>
          <w:rFonts w:cs="Arial"/>
          <w:sz w:val="24"/>
          <w:szCs w:val="24"/>
        </w:rPr>
        <w:t xml:space="preserve"> </w:t>
      </w:r>
      <w:r w:rsidR="001C21A5" w:rsidRPr="00A67BCA">
        <w:rPr>
          <w:rFonts w:cs="Arial"/>
          <w:sz w:val="24"/>
          <w:szCs w:val="24"/>
        </w:rPr>
        <w:t>See Section</w:t>
      </w:r>
      <w:r w:rsidR="00A84117">
        <w:rPr>
          <w:rFonts w:cs="Arial"/>
          <w:sz w:val="24"/>
          <w:szCs w:val="24"/>
        </w:rPr>
        <w:t xml:space="preserve"> </w:t>
      </w:r>
      <w:r w:rsidR="001C21A5" w:rsidRPr="00A67BCA">
        <w:rPr>
          <w:rFonts w:cs="Arial"/>
          <w:sz w:val="24"/>
          <w:szCs w:val="24"/>
        </w:rPr>
        <w:t>376.303(6), F.S.</w:t>
      </w:r>
      <w:r w:rsidR="00760465">
        <w:rPr>
          <w:rFonts w:cs="Arial"/>
          <w:sz w:val="24"/>
          <w:szCs w:val="24"/>
        </w:rPr>
        <w:t xml:space="preserve"> </w:t>
      </w:r>
      <w:r w:rsidR="00CD04D2">
        <w:rPr>
          <w:rFonts w:cs="Arial"/>
          <w:sz w:val="24"/>
          <w:szCs w:val="24"/>
        </w:rPr>
        <w:t xml:space="preserve"> </w:t>
      </w:r>
      <w:r w:rsidRPr="00807D82">
        <w:rPr>
          <w:rFonts w:cs="Arial"/>
          <w:sz w:val="24"/>
          <w:szCs w:val="24"/>
        </w:rPr>
        <w:t>The</w:t>
      </w:r>
      <w:r w:rsidR="00760465">
        <w:rPr>
          <w:rFonts w:cs="Arial"/>
          <w:sz w:val="24"/>
          <w:szCs w:val="24"/>
        </w:rPr>
        <w:t xml:space="preserve"> </w:t>
      </w:r>
      <w:r w:rsidRPr="00807D82">
        <w:rPr>
          <w:rFonts w:cs="Arial"/>
          <w:sz w:val="24"/>
          <w:szCs w:val="24"/>
        </w:rPr>
        <w:t>Registry</w:t>
      </w:r>
      <w:r w:rsidR="00760465">
        <w:rPr>
          <w:rFonts w:cs="Arial"/>
          <w:sz w:val="24"/>
          <w:szCs w:val="24"/>
        </w:rPr>
        <w:t xml:space="preserve"> </w:t>
      </w:r>
      <w:r w:rsidRPr="00807D82">
        <w:rPr>
          <w:rFonts w:cs="Arial"/>
          <w:sz w:val="24"/>
          <w:szCs w:val="24"/>
        </w:rPr>
        <w:t>website</w:t>
      </w:r>
      <w:r w:rsidR="00760465">
        <w:rPr>
          <w:rFonts w:cs="Arial"/>
          <w:sz w:val="24"/>
          <w:szCs w:val="24"/>
        </w:rPr>
        <w:t xml:space="preserve"> </w:t>
      </w:r>
      <w:r w:rsidRPr="00807D82">
        <w:rPr>
          <w:rFonts w:cs="Arial"/>
          <w:sz w:val="24"/>
          <w:szCs w:val="24"/>
        </w:rPr>
        <w:t>address</w:t>
      </w:r>
      <w:r w:rsidR="00760465">
        <w:rPr>
          <w:rFonts w:cs="Arial"/>
          <w:sz w:val="24"/>
          <w:szCs w:val="24"/>
        </w:rPr>
        <w:t xml:space="preserve"> </w:t>
      </w:r>
      <w:r w:rsidRPr="00807D82">
        <w:rPr>
          <w:rFonts w:cs="Arial"/>
          <w:sz w:val="24"/>
          <w:szCs w:val="24"/>
        </w:rPr>
        <w:t xml:space="preserve">is </w:t>
      </w:r>
      <w:r w:rsidR="00CD04D2">
        <w:rPr>
          <w:rFonts w:cs="Arial"/>
          <w:sz w:val="24"/>
          <w:szCs w:val="24"/>
        </w:rPr>
        <w:t xml:space="preserve"> </w:t>
      </w:r>
      <w:r w:rsidR="00FE0E4A">
        <w:rPr>
          <w:rFonts w:cs="Arial"/>
          <w:sz w:val="24"/>
          <w:szCs w:val="24"/>
        </w:rPr>
        <w:br/>
      </w:r>
      <w:hyperlink r:id="rId8" w:history="1">
        <w:r w:rsidR="00F1217B" w:rsidRPr="00F1217B">
          <w:rPr>
            <w:rStyle w:val="Hyperlink"/>
            <w:sz w:val="24"/>
            <w:szCs w:val="24"/>
          </w:rPr>
          <w:t>https://floridadep.gov/waste/waste/content/institutional-controls-registry</w:t>
        </w:r>
      </w:hyperlink>
      <w:r w:rsidR="00F1217B">
        <w:rPr>
          <w:sz w:val="24"/>
          <w:szCs w:val="24"/>
        </w:rPr>
        <w:t>.</w:t>
      </w:r>
    </w:p>
    <w:p w14:paraId="509FB9BF" w14:textId="5473C26D" w:rsidR="004D3B71" w:rsidRPr="00807D82" w:rsidRDefault="00866EAA" w:rsidP="00FE0E4A">
      <w:pPr>
        <w:jc w:val="both"/>
        <w:rPr>
          <w:rFonts w:cs="Arial"/>
          <w:sz w:val="24"/>
          <w:szCs w:val="24"/>
        </w:rPr>
      </w:pPr>
      <w:r>
        <w:rPr>
          <w:rFonts w:cs="Arial"/>
          <w:sz w:val="24"/>
          <w:szCs w:val="24"/>
        </w:rPr>
        <w:lastRenderedPageBreak/>
        <w:t xml:space="preserve">. </w:t>
      </w:r>
    </w:p>
    <w:p w14:paraId="1AA5BC04" w14:textId="77777777" w:rsidR="00961FC7" w:rsidRPr="00807D82" w:rsidRDefault="00961FC7" w:rsidP="004D3B71">
      <w:pPr>
        <w:jc w:val="both"/>
        <w:rPr>
          <w:rFonts w:cs="Arial"/>
          <w:b/>
          <w:sz w:val="24"/>
          <w:szCs w:val="24"/>
        </w:rPr>
      </w:pPr>
    </w:p>
    <w:p w14:paraId="632AA0F2" w14:textId="293648EA" w:rsidR="004D3B71" w:rsidRPr="00807D82" w:rsidRDefault="004D3B71" w:rsidP="004D3B71">
      <w:pPr>
        <w:jc w:val="both"/>
        <w:rPr>
          <w:rFonts w:cs="Arial"/>
          <w:sz w:val="24"/>
          <w:szCs w:val="24"/>
        </w:rPr>
      </w:pPr>
      <w:r w:rsidRPr="00807D82">
        <w:rPr>
          <w:rFonts w:cs="Arial"/>
          <w:b/>
          <w:sz w:val="24"/>
          <w:szCs w:val="24"/>
        </w:rPr>
        <w:t>Interim Institutional Control</w:t>
      </w:r>
      <w:r w:rsidRPr="00807D82">
        <w:rPr>
          <w:rFonts w:cs="Arial"/>
          <w:sz w:val="24"/>
          <w:szCs w:val="24"/>
        </w:rPr>
        <w:t xml:space="preserve">.  An institutional control that is entered into between the property owner and the FDEP prior to completion of the cleanup work. </w:t>
      </w:r>
    </w:p>
    <w:p w14:paraId="756D464B" w14:textId="77777777" w:rsidR="00961FC7" w:rsidRPr="00807D82" w:rsidRDefault="00961FC7" w:rsidP="004D3B71">
      <w:pPr>
        <w:jc w:val="both"/>
        <w:rPr>
          <w:rFonts w:cs="Arial"/>
          <w:b/>
          <w:sz w:val="24"/>
          <w:szCs w:val="24"/>
        </w:rPr>
      </w:pPr>
    </w:p>
    <w:p w14:paraId="7C2E980A" w14:textId="1764B2D7" w:rsidR="004D3B71" w:rsidRPr="00807D82" w:rsidRDefault="004D3B71" w:rsidP="004D3B71">
      <w:pPr>
        <w:jc w:val="both"/>
        <w:rPr>
          <w:rFonts w:cs="Arial"/>
          <w:sz w:val="24"/>
          <w:szCs w:val="24"/>
        </w:rPr>
      </w:pPr>
      <w:r w:rsidRPr="00807D82">
        <w:rPr>
          <w:rFonts w:cs="Arial"/>
          <w:b/>
          <w:sz w:val="24"/>
          <w:szCs w:val="24"/>
        </w:rPr>
        <w:t>Joinder and Consent</w:t>
      </w:r>
      <w:r w:rsidRPr="00807D82">
        <w:rPr>
          <w:rFonts w:cs="Arial"/>
          <w:sz w:val="24"/>
          <w:szCs w:val="24"/>
        </w:rPr>
        <w:t xml:space="preserve">.  A written agreement by which one holding an interest in or encumbrance on real property (such as a party to a lease or an easement holder) agrees to </w:t>
      </w:r>
      <w:r w:rsidR="00FE0E4A" w:rsidRPr="00807D82">
        <w:rPr>
          <w:rFonts w:cs="Arial"/>
          <w:sz w:val="24"/>
          <w:szCs w:val="24"/>
        </w:rPr>
        <w:t>the execution</w:t>
      </w:r>
      <w:r w:rsidR="006B1623" w:rsidRPr="00807D82">
        <w:rPr>
          <w:rFonts w:cs="Arial"/>
          <w:sz w:val="24"/>
          <w:szCs w:val="24"/>
        </w:rPr>
        <w:t xml:space="preserve"> </w:t>
      </w:r>
      <w:r w:rsidR="00FE0E4A" w:rsidRPr="00807D82">
        <w:rPr>
          <w:rFonts w:cs="Arial"/>
          <w:sz w:val="24"/>
          <w:szCs w:val="24"/>
        </w:rPr>
        <w:t>and recordation</w:t>
      </w:r>
      <w:r w:rsidR="006B1623" w:rsidRPr="00807D82">
        <w:rPr>
          <w:rFonts w:cs="Arial"/>
          <w:sz w:val="24"/>
          <w:szCs w:val="24"/>
        </w:rPr>
        <w:t xml:space="preserve"> of</w:t>
      </w:r>
      <w:r w:rsidRPr="00807D82">
        <w:rPr>
          <w:rFonts w:cs="Arial"/>
          <w:sz w:val="24"/>
          <w:szCs w:val="24"/>
        </w:rPr>
        <w:t xml:space="preserve"> an interest in the real property. </w:t>
      </w:r>
    </w:p>
    <w:p w14:paraId="228BADF2" w14:textId="77777777" w:rsidR="00961FC7" w:rsidRPr="00807D82" w:rsidRDefault="00961FC7" w:rsidP="004D3B71">
      <w:pPr>
        <w:jc w:val="both"/>
        <w:rPr>
          <w:rFonts w:cs="Arial"/>
          <w:b/>
          <w:sz w:val="24"/>
          <w:szCs w:val="24"/>
        </w:rPr>
      </w:pPr>
    </w:p>
    <w:p w14:paraId="639CEF8F" w14:textId="77777777" w:rsidR="004D3B71" w:rsidRPr="00807D82" w:rsidRDefault="004D3B71" w:rsidP="004D3B71">
      <w:pPr>
        <w:jc w:val="both"/>
        <w:rPr>
          <w:rFonts w:cs="Arial"/>
          <w:sz w:val="24"/>
          <w:szCs w:val="24"/>
        </w:rPr>
      </w:pPr>
      <w:r w:rsidRPr="00807D82">
        <w:rPr>
          <w:rFonts w:cs="Arial"/>
          <w:b/>
          <w:sz w:val="24"/>
          <w:szCs w:val="24"/>
        </w:rPr>
        <w:t>Lessee (tenant)</w:t>
      </w:r>
      <w:r w:rsidRPr="00807D82">
        <w:rPr>
          <w:rFonts w:cs="Arial"/>
          <w:sz w:val="24"/>
          <w:szCs w:val="24"/>
        </w:rPr>
        <w:t>.  One who has a possessory interest in real property under a lease</w:t>
      </w:r>
      <w:r w:rsidR="006B1623" w:rsidRPr="00807D82">
        <w:rPr>
          <w:rFonts w:cs="Arial"/>
          <w:sz w:val="24"/>
          <w:szCs w:val="24"/>
        </w:rPr>
        <w:t>.</w:t>
      </w:r>
    </w:p>
    <w:p w14:paraId="169F2834" w14:textId="77777777" w:rsidR="00961FC7" w:rsidRPr="00807D82" w:rsidRDefault="00961FC7" w:rsidP="004D3B71">
      <w:pPr>
        <w:jc w:val="both"/>
        <w:rPr>
          <w:rFonts w:cs="Arial"/>
          <w:b/>
          <w:sz w:val="24"/>
          <w:szCs w:val="24"/>
        </w:rPr>
      </w:pPr>
    </w:p>
    <w:p w14:paraId="72D611E7" w14:textId="77777777" w:rsidR="004D3B71" w:rsidRPr="00807D82" w:rsidRDefault="004D3B71" w:rsidP="004D3B71">
      <w:pPr>
        <w:jc w:val="both"/>
        <w:rPr>
          <w:rFonts w:cs="Arial"/>
          <w:sz w:val="24"/>
          <w:szCs w:val="24"/>
        </w:rPr>
      </w:pPr>
      <w:r w:rsidRPr="00807D82">
        <w:rPr>
          <w:rFonts w:cs="Arial"/>
          <w:b/>
          <w:sz w:val="24"/>
          <w:szCs w:val="24"/>
        </w:rPr>
        <w:t>Lessor (landlord).</w:t>
      </w:r>
      <w:r w:rsidRPr="00807D82">
        <w:rPr>
          <w:rFonts w:cs="Arial"/>
          <w:sz w:val="24"/>
          <w:szCs w:val="24"/>
        </w:rPr>
        <w:t xml:space="preserve">  An entity who makes real property available for use by another party for a period of time with a lease and wh</w:t>
      </w:r>
      <w:r w:rsidR="006B1623" w:rsidRPr="00807D82">
        <w:rPr>
          <w:rFonts w:cs="Arial"/>
          <w:sz w:val="24"/>
          <w:szCs w:val="24"/>
        </w:rPr>
        <w:t>o retains title to or ownership</w:t>
      </w:r>
      <w:r w:rsidRPr="00807D82">
        <w:rPr>
          <w:rFonts w:cs="Arial"/>
          <w:sz w:val="24"/>
          <w:szCs w:val="24"/>
        </w:rPr>
        <w:t>.</w:t>
      </w:r>
    </w:p>
    <w:p w14:paraId="1979C1E8" w14:textId="77777777" w:rsidR="00961FC7" w:rsidRPr="00807D82" w:rsidRDefault="00961FC7" w:rsidP="004D3B71">
      <w:pPr>
        <w:jc w:val="both"/>
        <w:rPr>
          <w:rFonts w:cs="Arial"/>
          <w:b/>
          <w:sz w:val="24"/>
          <w:szCs w:val="24"/>
        </w:rPr>
      </w:pPr>
    </w:p>
    <w:p w14:paraId="6F10A5D7" w14:textId="77777777" w:rsidR="004D3B71" w:rsidRPr="00807D82" w:rsidRDefault="004D3B71" w:rsidP="004D3B71">
      <w:pPr>
        <w:jc w:val="both"/>
        <w:rPr>
          <w:rFonts w:cs="Arial"/>
          <w:sz w:val="24"/>
          <w:szCs w:val="24"/>
        </w:rPr>
      </w:pPr>
      <w:r w:rsidRPr="00807D82">
        <w:rPr>
          <w:rFonts w:cs="Arial"/>
          <w:b/>
          <w:sz w:val="24"/>
          <w:szCs w:val="24"/>
        </w:rPr>
        <w:t>Lienor (lien holder)</w:t>
      </w:r>
      <w:r w:rsidRPr="00807D82">
        <w:rPr>
          <w:rFonts w:cs="Arial"/>
          <w:sz w:val="24"/>
          <w:szCs w:val="24"/>
        </w:rPr>
        <w:t xml:space="preserve">.  A party that holds a legally enforceable right (lien) on real property such as a mortgage. </w:t>
      </w:r>
    </w:p>
    <w:p w14:paraId="6CB70AA9" w14:textId="77777777" w:rsidR="00961FC7" w:rsidRPr="00807D82" w:rsidRDefault="00961FC7" w:rsidP="004D3B71">
      <w:pPr>
        <w:jc w:val="both"/>
        <w:rPr>
          <w:rFonts w:cs="Arial"/>
          <w:b/>
          <w:sz w:val="24"/>
          <w:szCs w:val="24"/>
        </w:rPr>
      </w:pPr>
    </w:p>
    <w:p w14:paraId="4520E26A" w14:textId="77777777" w:rsidR="004D3B71" w:rsidRPr="00807D82" w:rsidRDefault="004D3B71" w:rsidP="004D3B71">
      <w:pPr>
        <w:jc w:val="both"/>
        <w:rPr>
          <w:rFonts w:cs="Arial"/>
          <w:sz w:val="24"/>
          <w:szCs w:val="24"/>
        </w:rPr>
      </w:pPr>
      <w:r w:rsidRPr="00807D82">
        <w:rPr>
          <w:rFonts w:cs="Arial"/>
          <w:b/>
          <w:sz w:val="24"/>
          <w:szCs w:val="24"/>
        </w:rPr>
        <w:t>Minimum Technical Standards (MTS)</w:t>
      </w:r>
      <w:r w:rsidR="00FE0E4A" w:rsidRPr="00807D82">
        <w:rPr>
          <w:rFonts w:cs="Arial"/>
          <w:b/>
          <w:sz w:val="24"/>
          <w:szCs w:val="24"/>
        </w:rPr>
        <w:t xml:space="preserve">.  </w:t>
      </w:r>
      <w:r w:rsidRPr="00807D82">
        <w:rPr>
          <w:rFonts w:cs="Arial"/>
          <w:sz w:val="24"/>
          <w:szCs w:val="24"/>
        </w:rPr>
        <w:t>The Minimum Technical Standards for preparation of a survey set forth in Chapter 5J-17</w:t>
      </w:r>
      <w:r w:rsidR="006B1623" w:rsidRPr="00807D82">
        <w:rPr>
          <w:rFonts w:cs="Arial"/>
          <w:sz w:val="24"/>
          <w:szCs w:val="24"/>
        </w:rPr>
        <w:t>.050-.052</w:t>
      </w:r>
      <w:r w:rsidRPr="00807D82">
        <w:rPr>
          <w:rFonts w:cs="Arial"/>
          <w:sz w:val="24"/>
          <w:szCs w:val="24"/>
        </w:rPr>
        <w:t xml:space="preserve">, F.A.C. </w:t>
      </w:r>
    </w:p>
    <w:p w14:paraId="199AE170" w14:textId="77777777" w:rsidR="00961FC7" w:rsidRPr="00807D82" w:rsidRDefault="00961FC7" w:rsidP="004D3B71">
      <w:pPr>
        <w:jc w:val="both"/>
        <w:rPr>
          <w:rFonts w:cs="Arial"/>
          <w:b/>
          <w:sz w:val="24"/>
          <w:szCs w:val="24"/>
        </w:rPr>
      </w:pPr>
    </w:p>
    <w:p w14:paraId="65C752DD" w14:textId="77777777" w:rsidR="004D3B71" w:rsidRPr="00807D82" w:rsidRDefault="004D3B71" w:rsidP="004D3B71">
      <w:pPr>
        <w:jc w:val="both"/>
        <w:rPr>
          <w:rFonts w:cs="Arial"/>
          <w:sz w:val="24"/>
          <w:szCs w:val="24"/>
        </w:rPr>
      </w:pPr>
      <w:r w:rsidRPr="00807D82">
        <w:rPr>
          <w:rFonts w:cs="Arial"/>
          <w:b/>
          <w:sz w:val="24"/>
          <w:szCs w:val="24"/>
        </w:rPr>
        <w:t>Mortgagee (mortgage holder)</w:t>
      </w:r>
      <w:r w:rsidRPr="00807D82">
        <w:rPr>
          <w:rFonts w:cs="Arial"/>
          <w:sz w:val="24"/>
          <w:szCs w:val="24"/>
        </w:rPr>
        <w:t>.  The creditor or lender that holds a mortgage interest on real property.</w:t>
      </w:r>
    </w:p>
    <w:p w14:paraId="2AC2C593" w14:textId="77777777" w:rsidR="00961FC7" w:rsidRPr="00807D82" w:rsidRDefault="00961FC7" w:rsidP="004D3B71">
      <w:pPr>
        <w:jc w:val="both"/>
        <w:rPr>
          <w:rFonts w:cs="Arial"/>
          <w:b/>
          <w:sz w:val="24"/>
          <w:szCs w:val="24"/>
        </w:rPr>
      </w:pPr>
    </w:p>
    <w:p w14:paraId="0D22515A" w14:textId="77777777" w:rsidR="004D3B71" w:rsidRPr="00807D82" w:rsidRDefault="004D3B71" w:rsidP="004D3B71">
      <w:pPr>
        <w:jc w:val="both"/>
        <w:rPr>
          <w:rFonts w:cs="Arial"/>
          <w:sz w:val="24"/>
          <w:szCs w:val="24"/>
        </w:rPr>
      </w:pPr>
      <w:r w:rsidRPr="00807D82">
        <w:rPr>
          <w:rFonts w:cs="Arial"/>
          <w:b/>
          <w:sz w:val="24"/>
          <w:szCs w:val="24"/>
        </w:rPr>
        <w:t xml:space="preserve">Ownership and Encumbrance Report.  </w:t>
      </w:r>
      <w:r w:rsidRPr="00807D82">
        <w:rPr>
          <w:rFonts w:cs="Arial"/>
          <w:sz w:val="24"/>
          <w:szCs w:val="24"/>
        </w:rPr>
        <w:t xml:space="preserve">A report prepared by a title insurance company that </w:t>
      </w:r>
      <w:r w:rsidRPr="00807D82">
        <w:rPr>
          <w:rFonts w:cs="Arial"/>
          <w:iCs/>
          <w:sz w:val="24"/>
          <w:szCs w:val="24"/>
        </w:rPr>
        <w:t>reflects all parties having a recorded interest in the property, including owners, tenants under recorded leases, lienors, and easement holders, based on a title search that commences with the instrument constituting the root of title under Florida’s Marketable Record Title Act</w:t>
      </w:r>
      <w:r w:rsidRPr="00807D82">
        <w:rPr>
          <w:rFonts w:cs="Arial"/>
          <w:sz w:val="24"/>
          <w:szCs w:val="24"/>
        </w:rPr>
        <w:t>.</w:t>
      </w:r>
    </w:p>
    <w:p w14:paraId="78979EF7" w14:textId="77777777" w:rsidR="00961FC7" w:rsidRPr="00807D82" w:rsidRDefault="00961FC7" w:rsidP="004D3B71">
      <w:pPr>
        <w:jc w:val="both"/>
        <w:rPr>
          <w:rFonts w:cs="Arial"/>
          <w:b/>
          <w:sz w:val="24"/>
          <w:szCs w:val="24"/>
        </w:rPr>
      </w:pPr>
    </w:p>
    <w:p w14:paraId="6BBA6F8D" w14:textId="77777777" w:rsidR="004D3B71" w:rsidRPr="00807D82" w:rsidRDefault="004D3B71" w:rsidP="004D3B71">
      <w:pPr>
        <w:jc w:val="both"/>
        <w:rPr>
          <w:rFonts w:cs="Arial"/>
          <w:sz w:val="24"/>
          <w:szCs w:val="24"/>
        </w:rPr>
      </w:pPr>
      <w:r w:rsidRPr="00807D82">
        <w:rPr>
          <w:rFonts w:cs="Arial"/>
          <w:b/>
          <w:sz w:val="24"/>
          <w:szCs w:val="24"/>
        </w:rPr>
        <w:t>Restrictive Covenant (RC)</w:t>
      </w:r>
      <w:r w:rsidRPr="00807D82">
        <w:rPr>
          <w:rFonts w:cs="Arial"/>
          <w:sz w:val="24"/>
          <w:szCs w:val="24"/>
        </w:rPr>
        <w:t>.</w:t>
      </w:r>
      <w:r w:rsidR="00501FD3">
        <w:rPr>
          <w:rFonts w:cs="Arial"/>
          <w:sz w:val="24"/>
          <w:szCs w:val="24"/>
        </w:rPr>
        <w:t xml:space="preserve"> </w:t>
      </w:r>
      <w:r w:rsidRPr="00807D82">
        <w:rPr>
          <w:rFonts w:cs="Arial"/>
          <w:sz w:val="24"/>
          <w:szCs w:val="24"/>
        </w:rPr>
        <w:t xml:space="preserve"> A private agreement, in a deed or other written </w:t>
      </w:r>
      <w:r w:rsidR="00FE0E4A" w:rsidRPr="00807D82">
        <w:rPr>
          <w:rFonts w:cs="Arial"/>
          <w:sz w:val="24"/>
          <w:szCs w:val="24"/>
        </w:rPr>
        <w:t>instrument that</w:t>
      </w:r>
      <w:r w:rsidRPr="00807D82">
        <w:rPr>
          <w:rFonts w:cs="Arial"/>
          <w:sz w:val="24"/>
          <w:szCs w:val="24"/>
        </w:rPr>
        <w:t xml:space="preserve"> restricts the use or occupancy of real property, and the uses to which the property may be put.</w:t>
      </w:r>
    </w:p>
    <w:p w14:paraId="6A565DF2" w14:textId="77777777" w:rsidR="00961FC7" w:rsidRPr="00807D82" w:rsidRDefault="00961FC7" w:rsidP="004D3B71">
      <w:pPr>
        <w:jc w:val="both"/>
        <w:rPr>
          <w:rFonts w:cs="Arial"/>
          <w:b/>
          <w:sz w:val="24"/>
          <w:szCs w:val="24"/>
        </w:rPr>
      </w:pPr>
    </w:p>
    <w:p w14:paraId="0E5EF225" w14:textId="77777777" w:rsidR="004D3B71" w:rsidRPr="00807D82" w:rsidRDefault="004D3B71" w:rsidP="004D3B71">
      <w:pPr>
        <w:jc w:val="both"/>
        <w:rPr>
          <w:rFonts w:cs="Arial"/>
          <w:sz w:val="24"/>
          <w:szCs w:val="24"/>
        </w:rPr>
      </w:pPr>
      <w:r w:rsidRPr="00807D82">
        <w:rPr>
          <w:rFonts w:cs="Arial"/>
          <w:b/>
          <w:sz w:val="24"/>
          <w:szCs w:val="24"/>
        </w:rPr>
        <w:t>Subordination</w:t>
      </w:r>
      <w:r w:rsidRPr="00807D82">
        <w:rPr>
          <w:rFonts w:cs="Arial"/>
          <w:sz w:val="24"/>
          <w:szCs w:val="24"/>
        </w:rPr>
        <w:t>.  An agreement by which one who holds an otherwise senior interest (such as a mortgage) agrees to subordinate that interest to a normally lesser (usually later recorded) interest.</w:t>
      </w:r>
    </w:p>
    <w:p w14:paraId="6B7C3820" w14:textId="77777777" w:rsidR="00961FC7" w:rsidRPr="00807D82" w:rsidRDefault="00961FC7" w:rsidP="004D3B71">
      <w:pPr>
        <w:jc w:val="both"/>
        <w:rPr>
          <w:rFonts w:cs="Arial"/>
          <w:b/>
          <w:sz w:val="24"/>
          <w:szCs w:val="24"/>
        </w:rPr>
      </w:pPr>
    </w:p>
    <w:p w14:paraId="178216CB" w14:textId="5F3B6CDB" w:rsidR="004D3B71" w:rsidRDefault="004D3B71" w:rsidP="004D3B71">
      <w:pPr>
        <w:jc w:val="both"/>
        <w:rPr>
          <w:rFonts w:cs="Arial"/>
          <w:sz w:val="24"/>
          <w:szCs w:val="24"/>
        </w:rPr>
      </w:pPr>
      <w:r w:rsidRPr="00807D82">
        <w:rPr>
          <w:rFonts w:cs="Arial"/>
          <w:b/>
          <w:sz w:val="24"/>
          <w:szCs w:val="24"/>
        </w:rPr>
        <w:t>State Plane Coordinate (SPC) System</w:t>
      </w:r>
      <w:r w:rsidRPr="00807D82">
        <w:rPr>
          <w:rFonts w:cs="Arial"/>
          <w:sz w:val="24"/>
          <w:szCs w:val="24"/>
        </w:rPr>
        <w:t xml:space="preserve">.  The system of plane coordinates which has been established by the National Ocean Service for defining and stating the positions or locations of points on the surface of the earth within the state using the zones established by the National Ocean Service in NOAA Manual NOS NGS 5, State Plane Coordinate System of 1983.  The appropriate projection and zone designation shall be indicated and included in any description using the Florida State Plane Coordinate System. </w:t>
      </w:r>
      <w:r w:rsidR="00D65B2F">
        <w:rPr>
          <w:rFonts w:cs="Arial"/>
          <w:sz w:val="24"/>
          <w:szCs w:val="24"/>
        </w:rPr>
        <w:t xml:space="preserve"> </w:t>
      </w:r>
      <w:r w:rsidR="00961FC7" w:rsidRPr="00807D82">
        <w:rPr>
          <w:rFonts w:cs="Arial"/>
          <w:sz w:val="24"/>
          <w:szCs w:val="24"/>
        </w:rPr>
        <w:t xml:space="preserve">See </w:t>
      </w:r>
      <w:r w:rsidRPr="00807D82">
        <w:rPr>
          <w:rFonts w:cs="Arial"/>
          <w:sz w:val="24"/>
          <w:szCs w:val="24"/>
        </w:rPr>
        <w:t>Section 177.031(19), Fla. Stat.</w:t>
      </w:r>
    </w:p>
    <w:p w14:paraId="05CBED2C" w14:textId="77777777" w:rsidR="00A84117" w:rsidRPr="00807D82" w:rsidRDefault="00A84117" w:rsidP="004D3B71">
      <w:pPr>
        <w:jc w:val="both"/>
        <w:rPr>
          <w:rFonts w:cs="Arial"/>
          <w:sz w:val="24"/>
          <w:szCs w:val="24"/>
        </w:rPr>
      </w:pPr>
    </w:p>
    <w:p w14:paraId="74B12443" w14:textId="77777777" w:rsidR="009E083B" w:rsidRDefault="009E083B" w:rsidP="009E083B">
      <w:pPr>
        <w:jc w:val="both"/>
        <w:rPr>
          <w:rFonts w:cs="Arial"/>
          <w:sz w:val="24"/>
          <w:szCs w:val="24"/>
        </w:rPr>
      </w:pPr>
      <w:r w:rsidRPr="00807D82">
        <w:rPr>
          <w:rFonts w:cs="Arial"/>
          <w:b/>
          <w:sz w:val="24"/>
          <w:szCs w:val="24"/>
        </w:rPr>
        <w:lastRenderedPageBreak/>
        <w:t>Survey</w:t>
      </w:r>
      <w:r w:rsidRPr="00807D82">
        <w:rPr>
          <w:rFonts w:cs="Arial"/>
          <w:sz w:val="24"/>
          <w:szCs w:val="24"/>
        </w:rPr>
        <w:t>.  A Specific Purpose Survey, Boundary Survey or Descriptions and Sketches to Accompany Descriptions, as defined under Chapter 5J-17, F.A.C. prepared using the Minimum Technical Standards defined in Chapter 5J-17, F.A.C.</w:t>
      </w:r>
    </w:p>
    <w:p w14:paraId="4AC91939" w14:textId="77777777" w:rsidR="00D65B2F" w:rsidRPr="00807D82" w:rsidRDefault="00D65B2F" w:rsidP="009E083B">
      <w:pPr>
        <w:jc w:val="both"/>
        <w:rPr>
          <w:rFonts w:cs="Arial"/>
          <w:sz w:val="24"/>
          <w:szCs w:val="24"/>
        </w:rPr>
      </w:pPr>
    </w:p>
    <w:p w14:paraId="1FD9755A" w14:textId="77777777" w:rsidR="009E083B" w:rsidRPr="00807D82" w:rsidRDefault="009E083B" w:rsidP="009E083B">
      <w:pPr>
        <w:jc w:val="both"/>
        <w:rPr>
          <w:rFonts w:cs="Arial"/>
          <w:iCs/>
          <w:sz w:val="24"/>
          <w:szCs w:val="24"/>
        </w:rPr>
      </w:pPr>
      <w:r w:rsidRPr="00807D82">
        <w:rPr>
          <w:rFonts w:cs="Arial"/>
          <w:b/>
          <w:sz w:val="24"/>
          <w:szCs w:val="24"/>
        </w:rPr>
        <w:t>Title Report</w:t>
      </w:r>
      <w:r w:rsidRPr="00807D82">
        <w:rPr>
          <w:rFonts w:cs="Arial"/>
          <w:sz w:val="24"/>
          <w:szCs w:val="24"/>
        </w:rPr>
        <w:t>.  A</w:t>
      </w:r>
      <w:r w:rsidRPr="00807D82">
        <w:rPr>
          <w:rFonts w:cs="Arial"/>
          <w:iCs/>
          <w:sz w:val="24"/>
          <w:szCs w:val="24"/>
        </w:rPr>
        <w:t>n Ownership and Encumbrance Report, a title insurance commitment or title insurance policy, that reflects all parties having a recorded interest in the property, including owners, tenants under recorded leases, lienors, and easement holders, based on a title search that commences with the instrument constituting the root of title under Florida’s Marketable Record Title Act.</w:t>
      </w:r>
    </w:p>
    <w:p w14:paraId="7477C8C5" w14:textId="77777777" w:rsidR="00FE0E4A" w:rsidRDefault="00FE0E4A" w:rsidP="00FE0E4A"/>
    <w:p w14:paraId="325E2DEB" w14:textId="77777777" w:rsidR="009E083B" w:rsidRPr="00807D82" w:rsidRDefault="00E56DCE" w:rsidP="00FE0E4A">
      <w:pPr>
        <w:rPr>
          <w:rFonts w:cs="Arial"/>
          <w:b/>
          <w:noProof/>
          <w:color w:val="000000"/>
          <w:sz w:val="24"/>
          <w:szCs w:val="24"/>
        </w:rPr>
      </w:pPr>
      <w:hyperlink r:id="rId9" w:tgtFrame="ruleNo" w:history="1">
        <w:r w:rsidR="009E083B" w:rsidRPr="00807D82">
          <w:rPr>
            <w:rStyle w:val="Hyperlink"/>
            <w:rFonts w:cs="Arial"/>
            <w:b/>
            <w:color w:val="auto"/>
            <w:sz w:val="24"/>
            <w:szCs w:val="24"/>
          </w:rPr>
          <w:t>18-1.004</w:t>
        </w:r>
      </w:hyperlink>
      <w:r w:rsidR="009E083B" w:rsidRPr="00807D82">
        <w:rPr>
          <w:rFonts w:cs="Arial"/>
          <w:sz w:val="24"/>
          <w:szCs w:val="24"/>
        </w:rPr>
        <w:t xml:space="preserve"> </w:t>
      </w:r>
      <w:r w:rsidR="009E083B" w:rsidRPr="00807D82">
        <w:rPr>
          <w:rFonts w:cs="Arial"/>
          <w:b/>
          <w:noProof/>
          <w:color w:val="000000"/>
          <w:sz w:val="24"/>
          <w:szCs w:val="24"/>
        </w:rPr>
        <w:t>Title.</w:t>
      </w:r>
    </w:p>
    <w:p w14:paraId="6214700E" w14:textId="77777777" w:rsidR="009E083B" w:rsidRPr="00807D82" w:rsidRDefault="009E083B" w:rsidP="00FE0E4A">
      <w:pPr>
        <w:rPr>
          <w:rFonts w:cs="Arial"/>
          <w:noProof/>
          <w:color w:val="000000"/>
          <w:sz w:val="24"/>
          <w:szCs w:val="24"/>
        </w:rPr>
      </w:pPr>
      <w:r w:rsidRPr="00807D82">
        <w:rPr>
          <w:rFonts w:cs="Arial"/>
          <w:noProof/>
          <w:color w:val="000000"/>
          <w:sz w:val="24"/>
          <w:szCs w:val="24"/>
        </w:rPr>
        <w:t>(1) Initial Title Report. In order for the Division to obtain appraisals, a</w:t>
      </w:r>
      <w:r w:rsidRPr="00807D82">
        <w:rPr>
          <w:rFonts w:cs="Arial"/>
          <w:b/>
          <w:noProof/>
          <w:color w:val="000000"/>
          <w:sz w:val="24"/>
          <w:szCs w:val="24"/>
        </w:rPr>
        <w:t xml:space="preserve"> title report, including an adequate legal description of the property to be acquired sufficient to inform the Division</w:t>
      </w:r>
      <w:r w:rsidRPr="00807D82">
        <w:rPr>
          <w:rFonts w:cs="Arial"/>
          <w:noProof/>
          <w:color w:val="000000"/>
          <w:sz w:val="24"/>
          <w:szCs w:val="24"/>
        </w:rPr>
        <w:t xml:space="preserve"> and the fee appraisers of the </w:t>
      </w:r>
      <w:r w:rsidRPr="00807D82">
        <w:rPr>
          <w:rFonts w:cs="Arial"/>
          <w:b/>
          <w:noProof/>
          <w:color w:val="000000"/>
          <w:sz w:val="24"/>
          <w:szCs w:val="24"/>
        </w:rPr>
        <w:t>status of ownership, encumbrances, exceptions, reservations, previous ownership history, and tax assessment history shall be obtained</w:t>
      </w:r>
      <w:r w:rsidRPr="00807D82">
        <w:rPr>
          <w:rFonts w:cs="Arial"/>
          <w:noProof/>
          <w:color w:val="000000"/>
          <w:sz w:val="24"/>
          <w:szCs w:val="24"/>
        </w:rPr>
        <w:t>. If an acquiring agency has initiated the acquisition or the acquisition is for the benefit of an acquiring agency, then the title report shall be furnished to the Division by the acquiring agency.</w:t>
      </w:r>
    </w:p>
    <w:p w14:paraId="451BA134" w14:textId="77777777" w:rsidR="009E083B" w:rsidRPr="00807D82" w:rsidRDefault="009E083B" w:rsidP="009E083B">
      <w:pPr>
        <w:rPr>
          <w:rFonts w:cs="Arial"/>
          <w:b/>
          <w:sz w:val="24"/>
          <w:szCs w:val="24"/>
        </w:rPr>
      </w:pPr>
    </w:p>
    <w:p w14:paraId="500412BE" w14:textId="65D574C1" w:rsidR="009E083B" w:rsidRPr="00807D82" w:rsidRDefault="0014314A" w:rsidP="00501FD3">
      <w:pPr>
        <w:pStyle w:val="Heading3"/>
        <w:jc w:val="center"/>
      </w:pPr>
      <w:bookmarkStart w:id="3" w:name="_Toc477955212"/>
      <w:r w:rsidRPr="00807D82">
        <w:t>Acronyms</w:t>
      </w:r>
      <w:bookmarkEnd w:id="3"/>
    </w:p>
    <w:p w14:paraId="474FEE78" w14:textId="078BB930" w:rsidR="009E083B" w:rsidRPr="00807D82" w:rsidRDefault="009E083B" w:rsidP="009E083B">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acronyms"/>
      </w:tblPr>
      <w:tblGrid>
        <w:gridCol w:w="1165"/>
        <w:gridCol w:w="6300"/>
      </w:tblGrid>
      <w:tr w:rsidR="00D639C8" w:rsidRPr="00D639C8" w14:paraId="0C7DD392" w14:textId="77777777" w:rsidTr="00D639C8">
        <w:tc>
          <w:tcPr>
            <w:tcW w:w="1165" w:type="dxa"/>
          </w:tcPr>
          <w:p w14:paraId="607C5D90" w14:textId="77777777" w:rsidR="00D639C8" w:rsidRPr="00D639C8" w:rsidRDefault="00D639C8" w:rsidP="00D152B3">
            <w:pPr>
              <w:rPr>
                <w:rFonts w:cs="Arial"/>
                <w:b/>
                <w:sz w:val="24"/>
                <w:szCs w:val="24"/>
              </w:rPr>
            </w:pPr>
            <w:r w:rsidRPr="00D639C8">
              <w:rPr>
                <w:rFonts w:cs="Arial"/>
                <w:b/>
                <w:sz w:val="24"/>
                <w:szCs w:val="24"/>
              </w:rPr>
              <w:t>DWM</w:t>
            </w:r>
          </w:p>
        </w:tc>
        <w:tc>
          <w:tcPr>
            <w:tcW w:w="6300" w:type="dxa"/>
          </w:tcPr>
          <w:p w14:paraId="1E1E53B4" w14:textId="77777777" w:rsidR="00D639C8" w:rsidRPr="00D639C8" w:rsidRDefault="00D639C8" w:rsidP="00D152B3">
            <w:pPr>
              <w:rPr>
                <w:rFonts w:cs="Arial"/>
                <w:sz w:val="24"/>
                <w:szCs w:val="24"/>
              </w:rPr>
            </w:pPr>
            <w:r w:rsidRPr="00D639C8">
              <w:rPr>
                <w:rFonts w:cs="Arial"/>
                <w:sz w:val="24"/>
                <w:szCs w:val="24"/>
              </w:rPr>
              <w:t>FDEP Division of Waste Management</w:t>
            </w:r>
          </w:p>
        </w:tc>
      </w:tr>
      <w:tr w:rsidR="00D639C8" w:rsidRPr="00D639C8" w14:paraId="5CF08E20" w14:textId="77777777" w:rsidTr="00D639C8">
        <w:tc>
          <w:tcPr>
            <w:tcW w:w="1165" w:type="dxa"/>
          </w:tcPr>
          <w:p w14:paraId="522A3DD6" w14:textId="77777777" w:rsidR="00D639C8" w:rsidRPr="00D639C8" w:rsidRDefault="00D639C8" w:rsidP="00D152B3">
            <w:pPr>
              <w:rPr>
                <w:rFonts w:cs="Arial"/>
                <w:b/>
                <w:sz w:val="24"/>
                <w:szCs w:val="24"/>
              </w:rPr>
            </w:pPr>
            <w:r w:rsidRPr="00D639C8">
              <w:rPr>
                <w:rFonts w:cs="Arial"/>
                <w:b/>
                <w:sz w:val="24"/>
                <w:szCs w:val="24"/>
              </w:rPr>
              <w:t>EC</w:t>
            </w:r>
          </w:p>
        </w:tc>
        <w:tc>
          <w:tcPr>
            <w:tcW w:w="6300" w:type="dxa"/>
          </w:tcPr>
          <w:p w14:paraId="3993249E" w14:textId="77777777" w:rsidR="00F349D0" w:rsidRPr="00D639C8" w:rsidRDefault="00F349D0" w:rsidP="00F349D0">
            <w:pPr>
              <w:rPr>
                <w:rFonts w:cs="Arial"/>
                <w:sz w:val="24"/>
                <w:szCs w:val="24"/>
              </w:rPr>
            </w:pPr>
            <w:r>
              <w:rPr>
                <w:rFonts w:cs="Arial"/>
                <w:sz w:val="24"/>
                <w:szCs w:val="24"/>
              </w:rPr>
              <w:t>Engineering Controls</w:t>
            </w:r>
          </w:p>
        </w:tc>
      </w:tr>
      <w:tr w:rsidR="00F349D0" w:rsidRPr="00D639C8" w14:paraId="2E44184F" w14:textId="77777777" w:rsidTr="00D639C8">
        <w:tc>
          <w:tcPr>
            <w:tcW w:w="1165" w:type="dxa"/>
          </w:tcPr>
          <w:p w14:paraId="13893B78" w14:textId="77777777" w:rsidR="00F349D0" w:rsidRPr="00D639C8" w:rsidRDefault="00CB3575" w:rsidP="00D152B3">
            <w:pPr>
              <w:rPr>
                <w:rFonts w:cs="Arial"/>
                <w:b/>
                <w:sz w:val="24"/>
                <w:szCs w:val="24"/>
              </w:rPr>
            </w:pPr>
            <w:r>
              <w:rPr>
                <w:rFonts w:cs="Arial"/>
                <w:b/>
                <w:sz w:val="24"/>
                <w:szCs w:val="24"/>
              </w:rPr>
              <w:t>F.A.C.</w:t>
            </w:r>
          </w:p>
        </w:tc>
        <w:tc>
          <w:tcPr>
            <w:tcW w:w="6300" w:type="dxa"/>
          </w:tcPr>
          <w:p w14:paraId="12BB15E8" w14:textId="77777777" w:rsidR="00F349D0" w:rsidRPr="00D639C8" w:rsidRDefault="00F349D0" w:rsidP="00F349D0">
            <w:pPr>
              <w:rPr>
                <w:rFonts w:cs="Arial"/>
                <w:sz w:val="24"/>
                <w:szCs w:val="24"/>
              </w:rPr>
            </w:pPr>
            <w:r>
              <w:rPr>
                <w:rFonts w:cs="Arial"/>
                <w:sz w:val="24"/>
                <w:szCs w:val="24"/>
              </w:rPr>
              <w:t>Florida Administrative Code</w:t>
            </w:r>
          </w:p>
        </w:tc>
      </w:tr>
      <w:tr w:rsidR="00F349D0" w:rsidRPr="00D639C8" w14:paraId="5CF5662C" w14:textId="77777777" w:rsidTr="00D639C8">
        <w:tc>
          <w:tcPr>
            <w:tcW w:w="1165" w:type="dxa"/>
          </w:tcPr>
          <w:p w14:paraId="05655CEE" w14:textId="77777777" w:rsidR="00F349D0" w:rsidRPr="00D639C8" w:rsidRDefault="00CB3575" w:rsidP="00D152B3">
            <w:pPr>
              <w:rPr>
                <w:rFonts w:cs="Arial"/>
                <w:b/>
                <w:sz w:val="24"/>
                <w:szCs w:val="24"/>
              </w:rPr>
            </w:pPr>
            <w:r>
              <w:rPr>
                <w:rFonts w:cs="Arial"/>
                <w:b/>
                <w:sz w:val="24"/>
                <w:szCs w:val="24"/>
              </w:rPr>
              <w:t>F.S.</w:t>
            </w:r>
          </w:p>
        </w:tc>
        <w:tc>
          <w:tcPr>
            <w:tcW w:w="6300" w:type="dxa"/>
          </w:tcPr>
          <w:p w14:paraId="1CAABBDA" w14:textId="77777777" w:rsidR="00F349D0" w:rsidRPr="00D639C8" w:rsidRDefault="00F349D0" w:rsidP="00D152B3">
            <w:pPr>
              <w:rPr>
                <w:rFonts w:cs="Arial"/>
                <w:sz w:val="24"/>
                <w:szCs w:val="24"/>
              </w:rPr>
            </w:pPr>
            <w:r>
              <w:rPr>
                <w:rFonts w:cs="Arial"/>
                <w:sz w:val="24"/>
                <w:szCs w:val="24"/>
              </w:rPr>
              <w:t>Florida Statutes</w:t>
            </w:r>
          </w:p>
        </w:tc>
      </w:tr>
      <w:tr w:rsidR="00D639C8" w:rsidRPr="00D639C8" w14:paraId="16E49244" w14:textId="77777777" w:rsidTr="00D639C8">
        <w:tc>
          <w:tcPr>
            <w:tcW w:w="1165" w:type="dxa"/>
          </w:tcPr>
          <w:p w14:paraId="4D5D86DE" w14:textId="77777777" w:rsidR="00D639C8" w:rsidRPr="00D639C8" w:rsidRDefault="00D639C8" w:rsidP="00D152B3">
            <w:pPr>
              <w:rPr>
                <w:rFonts w:cs="Arial"/>
                <w:b/>
                <w:sz w:val="24"/>
                <w:szCs w:val="24"/>
              </w:rPr>
            </w:pPr>
            <w:r w:rsidRPr="00D639C8">
              <w:rPr>
                <w:rFonts w:cs="Arial"/>
                <w:b/>
                <w:sz w:val="24"/>
                <w:szCs w:val="24"/>
              </w:rPr>
              <w:t>GCTL</w:t>
            </w:r>
          </w:p>
        </w:tc>
        <w:tc>
          <w:tcPr>
            <w:tcW w:w="6300" w:type="dxa"/>
          </w:tcPr>
          <w:p w14:paraId="180BC72C" w14:textId="77777777" w:rsidR="00D639C8" w:rsidRPr="00D639C8" w:rsidRDefault="00D639C8" w:rsidP="00D152B3">
            <w:pPr>
              <w:rPr>
                <w:rFonts w:cs="Arial"/>
                <w:sz w:val="24"/>
                <w:szCs w:val="24"/>
              </w:rPr>
            </w:pPr>
            <w:r w:rsidRPr="00D639C8">
              <w:rPr>
                <w:rFonts w:cs="Arial"/>
                <w:sz w:val="24"/>
                <w:szCs w:val="24"/>
              </w:rPr>
              <w:t>Groundwater Cleanup Target Level</w:t>
            </w:r>
          </w:p>
        </w:tc>
      </w:tr>
      <w:tr w:rsidR="00D639C8" w:rsidRPr="00D639C8" w14:paraId="30C0D08D" w14:textId="77777777" w:rsidTr="00D639C8">
        <w:tc>
          <w:tcPr>
            <w:tcW w:w="1165" w:type="dxa"/>
          </w:tcPr>
          <w:p w14:paraId="59CC05C8" w14:textId="77777777" w:rsidR="00D639C8" w:rsidRPr="00D639C8" w:rsidRDefault="00D639C8" w:rsidP="00D152B3">
            <w:pPr>
              <w:rPr>
                <w:rFonts w:cs="Arial"/>
                <w:b/>
                <w:sz w:val="24"/>
                <w:szCs w:val="24"/>
              </w:rPr>
            </w:pPr>
            <w:r w:rsidRPr="00D639C8">
              <w:rPr>
                <w:rFonts w:cs="Arial"/>
                <w:b/>
                <w:sz w:val="24"/>
                <w:szCs w:val="24"/>
              </w:rPr>
              <w:t>GPS</w:t>
            </w:r>
          </w:p>
        </w:tc>
        <w:tc>
          <w:tcPr>
            <w:tcW w:w="6300" w:type="dxa"/>
          </w:tcPr>
          <w:p w14:paraId="0306A3A6" w14:textId="77777777" w:rsidR="00D639C8" w:rsidRPr="00D639C8" w:rsidRDefault="00D639C8" w:rsidP="00D152B3">
            <w:pPr>
              <w:rPr>
                <w:rFonts w:cs="Arial"/>
                <w:sz w:val="24"/>
                <w:szCs w:val="24"/>
              </w:rPr>
            </w:pPr>
            <w:r w:rsidRPr="00D639C8">
              <w:rPr>
                <w:rFonts w:cs="Arial"/>
                <w:sz w:val="24"/>
                <w:szCs w:val="24"/>
              </w:rPr>
              <w:t>Global Positioning System</w:t>
            </w:r>
          </w:p>
        </w:tc>
      </w:tr>
      <w:tr w:rsidR="00D639C8" w:rsidRPr="00D639C8" w14:paraId="6C9C097D" w14:textId="77777777" w:rsidTr="00D639C8">
        <w:tc>
          <w:tcPr>
            <w:tcW w:w="1165" w:type="dxa"/>
          </w:tcPr>
          <w:p w14:paraId="700D825F" w14:textId="77777777" w:rsidR="00D639C8" w:rsidRPr="00D639C8" w:rsidRDefault="00D639C8" w:rsidP="00D152B3">
            <w:pPr>
              <w:rPr>
                <w:rFonts w:cs="Arial"/>
                <w:b/>
                <w:sz w:val="24"/>
                <w:szCs w:val="24"/>
              </w:rPr>
            </w:pPr>
            <w:r w:rsidRPr="00D639C8">
              <w:rPr>
                <w:rFonts w:cs="Arial"/>
                <w:b/>
                <w:sz w:val="24"/>
                <w:szCs w:val="24"/>
              </w:rPr>
              <w:t>IC</w:t>
            </w:r>
          </w:p>
        </w:tc>
        <w:tc>
          <w:tcPr>
            <w:tcW w:w="6300" w:type="dxa"/>
          </w:tcPr>
          <w:p w14:paraId="514F5C7D" w14:textId="77777777" w:rsidR="00D639C8" w:rsidRPr="00D639C8" w:rsidRDefault="00D639C8" w:rsidP="00D152B3">
            <w:pPr>
              <w:rPr>
                <w:rFonts w:cs="Arial"/>
                <w:sz w:val="24"/>
                <w:szCs w:val="24"/>
              </w:rPr>
            </w:pPr>
            <w:r w:rsidRPr="00D639C8">
              <w:rPr>
                <w:rFonts w:cs="Arial"/>
                <w:sz w:val="24"/>
                <w:szCs w:val="24"/>
              </w:rPr>
              <w:t xml:space="preserve">Institutional Control </w:t>
            </w:r>
          </w:p>
        </w:tc>
      </w:tr>
      <w:tr w:rsidR="00D639C8" w:rsidRPr="00D639C8" w14:paraId="48BDB827" w14:textId="77777777" w:rsidTr="00D639C8">
        <w:tc>
          <w:tcPr>
            <w:tcW w:w="1165" w:type="dxa"/>
          </w:tcPr>
          <w:p w14:paraId="3924F7B2" w14:textId="77777777" w:rsidR="00D639C8" w:rsidRPr="00D639C8" w:rsidRDefault="00D639C8" w:rsidP="00D152B3">
            <w:pPr>
              <w:rPr>
                <w:rFonts w:cs="Arial"/>
                <w:b/>
                <w:sz w:val="24"/>
                <w:szCs w:val="24"/>
              </w:rPr>
            </w:pPr>
            <w:r w:rsidRPr="00D639C8">
              <w:rPr>
                <w:rFonts w:cs="Arial"/>
                <w:b/>
                <w:sz w:val="24"/>
                <w:szCs w:val="24"/>
              </w:rPr>
              <w:t>ICECAP</w:t>
            </w:r>
          </w:p>
        </w:tc>
        <w:tc>
          <w:tcPr>
            <w:tcW w:w="6300" w:type="dxa"/>
          </w:tcPr>
          <w:p w14:paraId="5A3F4818" w14:textId="77777777" w:rsidR="00D639C8" w:rsidRPr="00D639C8" w:rsidRDefault="00D639C8" w:rsidP="00D152B3">
            <w:pPr>
              <w:rPr>
                <w:rFonts w:cs="Arial"/>
                <w:sz w:val="24"/>
                <w:szCs w:val="24"/>
              </w:rPr>
            </w:pPr>
            <w:r w:rsidRPr="00D639C8">
              <w:rPr>
                <w:rFonts w:cs="Arial"/>
                <w:sz w:val="24"/>
                <w:szCs w:val="24"/>
              </w:rPr>
              <w:t>Institutional Control/Engineering Control Audit Program</w:t>
            </w:r>
          </w:p>
        </w:tc>
      </w:tr>
      <w:tr w:rsidR="00D639C8" w:rsidRPr="00D639C8" w14:paraId="113DB87D" w14:textId="77777777" w:rsidTr="00D639C8">
        <w:tc>
          <w:tcPr>
            <w:tcW w:w="1165" w:type="dxa"/>
          </w:tcPr>
          <w:p w14:paraId="314E9E8A" w14:textId="77777777" w:rsidR="00D639C8" w:rsidRPr="00D639C8" w:rsidRDefault="00D639C8" w:rsidP="00D152B3">
            <w:pPr>
              <w:rPr>
                <w:rFonts w:cs="Arial"/>
                <w:b/>
                <w:sz w:val="24"/>
                <w:szCs w:val="24"/>
              </w:rPr>
            </w:pPr>
            <w:r w:rsidRPr="00D639C8">
              <w:rPr>
                <w:rFonts w:cs="Arial"/>
                <w:b/>
                <w:sz w:val="24"/>
                <w:szCs w:val="24"/>
              </w:rPr>
              <w:t>ICR</w:t>
            </w:r>
          </w:p>
        </w:tc>
        <w:tc>
          <w:tcPr>
            <w:tcW w:w="6300" w:type="dxa"/>
          </w:tcPr>
          <w:p w14:paraId="3024DCF7" w14:textId="77777777" w:rsidR="00D639C8" w:rsidRPr="00D639C8" w:rsidRDefault="00D639C8" w:rsidP="00D152B3">
            <w:pPr>
              <w:rPr>
                <w:rFonts w:cs="Arial"/>
                <w:sz w:val="24"/>
                <w:szCs w:val="24"/>
              </w:rPr>
            </w:pPr>
            <w:r w:rsidRPr="00D639C8">
              <w:rPr>
                <w:rFonts w:cs="Arial"/>
                <w:sz w:val="24"/>
                <w:szCs w:val="24"/>
              </w:rPr>
              <w:t>FDEP’s Institutional Control Registry</w:t>
            </w:r>
          </w:p>
        </w:tc>
      </w:tr>
      <w:tr w:rsidR="00D639C8" w:rsidRPr="00D639C8" w14:paraId="7D3ACD38" w14:textId="77777777" w:rsidTr="00D639C8">
        <w:tc>
          <w:tcPr>
            <w:tcW w:w="1165" w:type="dxa"/>
          </w:tcPr>
          <w:p w14:paraId="07DB5533" w14:textId="77777777" w:rsidR="00D639C8" w:rsidRPr="00D639C8" w:rsidRDefault="00D639C8" w:rsidP="00D152B3">
            <w:pPr>
              <w:rPr>
                <w:rFonts w:cs="Arial"/>
                <w:b/>
                <w:sz w:val="24"/>
                <w:szCs w:val="24"/>
              </w:rPr>
            </w:pPr>
            <w:r w:rsidRPr="00D639C8">
              <w:rPr>
                <w:rFonts w:cs="Arial"/>
                <w:b/>
                <w:sz w:val="24"/>
                <w:szCs w:val="24"/>
              </w:rPr>
              <w:t>ICPG</w:t>
            </w:r>
          </w:p>
        </w:tc>
        <w:tc>
          <w:tcPr>
            <w:tcW w:w="6300" w:type="dxa"/>
          </w:tcPr>
          <w:p w14:paraId="04604B70" w14:textId="77777777" w:rsidR="00F349D0" w:rsidRPr="00D639C8" w:rsidRDefault="00D639C8" w:rsidP="00F349D0">
            <w:pPr>
              <w:rPr>
                <w:rFonts w:cs="Arial"/>
                <w:sz w:val="24"/>
                <w:szCs w:val="24"/>
              </w:rPr>
            </w:pPr>
            <w:r w:rsidRPr="00D639C8">
              <w:rPr>
                <w:rFonts w:cs="Arial"/>
                <w:sz w:val="24"/>
                <w:szCs w:val="24"/>
              </w:rPr>
              <w:t>Institution</w:t>
            </w:r>
            <w:r w:rsidR="00F349D0">
              <w:rPr>
                <w:rFonts w:cs="Arial"/>
                <w:sz w:val="24"/>
                <w:szCs w:val="24"/>
              </w:rPr>
              <w:t>al Controls Procedures Guidance</w:t>
            </w:r>
          </w:p>
        </w:tc>
      </w:tr>
      <w:tr w:rsidR="00F349D0" w:rsidRPr="00D639C8" w14:paraId="01041429" w14:textId="77777777" w:rsidTr="00D639C8">
        <w:tc>
          <w:tcPr>
            <w:tcW w:w="1165" w:type="dxa"/>
          </w:tcPr>
          <w:p w14:paraId="53DFCCC3" w14:textId="77777777" w:rsidR="00F349D0" w:rsidRPr="00D639C8" w:rsidRDefault="00CB3575" w:rsidP="00D152B3">
            <w:pPr>
              <w:rPr>
                <w:rFonts w:cs="Arial"/>
                <w:b/>
                <w:sz w:val="24"/>
                <w:szCs w:val="24"/>
              </w:rPr>
            </w:pPr>
            <w:r>
              <w:rPr>
                <w:rFonts w:cs="Arial"/>
                <w:b/>
                <w:sz w:val="24"/>
                <w:szCs w:val="24"/>
              </w:rPr>
              <w:t>MOA</w:t>
            </w:r>
          </w:p>
        </w:tc>
        <w:tc>
          <w:tcPr>
            <w:tcW w:w="6300" w:type="dxa"/>
          </w:tcPr>
          <w:p w14:paraId="4BBF3293" w14:textId="77777777" w:rsidR="00F349D0" w:rsidRPr="00D639C8" w:rsidRDefault="00F349D0" w:rsidP="00CB3575">
            <w:pPr>
              <w:rPr>
                <w:rFonts w:cs="Arial"/>
                <w:sz w:val="24"/>
                <w:szCs w:val="24"/>
              </w:rPr>
            </w:pPr>
            <w:r>
              <w:rPr>
                <w:rFonts w:cs="Arial"/>
                <w:sz w:val="24"/>
                <w:szCs w:val="24"/>
              </w:rPr>
              <w:t xml:space="preserve">Memorandum of </w:t>
            </w:r>
            <w:r w:rsidR="00CB3575">
              <w:rPr>
                <w:rFonts w:cs="Arial"/>
                <w:sz w:val="24"/>
                <w:szCs w:val="24"/>
              </w:rPr>
              <w:t>Agreement</w:t>
            </w:r>
          </w:p>
        </w:tc>
      </w:tr>
      <w:tr w:rsidR="00F349D0" w:rsidRPr="00D639C8" w14:paraId="389D3771" w14:textId="77777777" w:rsidTr="00D639C8">
        <w:tc>
          <w:tcPr>
            <w:tcW w:w="1165" w:type="dxa"/>
          </w:tcPr>
          <w:p w14:paraId="14862BCF" w14:textId="77777777" w:rsidR="00F349D0" w:rsidRPr="00D639C8" w:rsidRDefault="00CB3575" w:rsidP="00D152B3">
            <w:pPr>
              <w:rPr>
                <w:rFonts w:cs="Arial"/>
                <w:b/>
                <w:sz w:val="24"/>
                <w:szCs w:val="24"/>
              </w:rPr>
            </w:pPr>
            <w:r>
              <w:rPr>
                <w:rFonts w:cs="Arial"/>
                <w:b/>
                <w:sz w:val="24"/>
                <w:szCs w:val="24"/>
              </w:rPr>
              <w:t>MOU</w:t>
            </w:r>
          </w:p>
        </w:tc>
        <w:tc>
          <w:tcPr>
            <w:tcW w:w="6300" w:type="dxa"/>
          </w:tcPr>
          <w:p w14:paraId="7A4B5F8A" w14:textId="77777777" w:rsidR="00F349D0" w:rsidRDefault="00F349D0" w:rsidP="00D152B3">
            <w:pPr>
              <w:rPr>
                <w:rFonts w:cs="Arial"/>
                <w:sz w:val="24"/>
                <w:szCs w:val="24"/>
              </w:rPr>
            </w:pPr>
            <w:r>
              <w:rPr>
                <w:rFonts w:cs="Arial"/>
                <w:sz w:val="24"/>
                <w:szCs w:val="24"/>
              </w:rPr>
              <w:t>Memorandum of Understanding</w:t>
            </w:r>
          </w:p>
        </w:tc>
      </w:tr>
      <w:tr w:rsidR="00D639C8" w:rsidRPr="00D639C8" w14:paraId="63E189A4" w14:textId="77777777" w:rsidTr="00D639C8">
        <w:tc>
          <w:tcPr>
            <w:tcW w:w="1165" w:type="dxa"/>
          </w:tcPr>
          <w:p w14:paraId="0264C77E" w14:textId="77777777" w:rsidR="00D639C8" w:rsidRPr="00D639C8" w:rsidRDefault="00D639C8" w:rsidP="00D152B3">
            <w:pPr>
              <w:rPr>
                <w:rFonts w:cs="Arial"/>
                <w:b/>
                <w:sz w:val="24"/>
                <w:szCs w:val="24"/>
              </w:rPr>
            </w:pPr>
            <w:r w:rsidRPr="00D639C8">
              <w:rPr>
                <w:rFonts w:cs="Arial"/>
                <w:b/>
                <w:sz w:val="24"/>
                <w:szCs w:val="24"/>
              </w:rPr>
              <w:t>OGC</w:t>
            </w:r>
          </w:p>
        </w:tc>
        <w:tc>
          <w:tcPr>
            <w:tcW w:w="6300" w:type="dxa"/>
          </w:tcPr>
          <w:p w14:paraId="6F45CD4A" w14:textId="77777777" w:rsidR="00D639C8" w:rsidRPr="00D639C8" w:rsidRDefault="00D639C8" w:rsidP="00D152B3">
            <w:pPr>
              <w:rPr>
                <w:rFonts w:cs="Arial"/>
                <w:sz w:val="24"/>
                <w:szCs w:val="24"/>
              </w:rPr>
            </w:pPr>
            <w:r w:rsidRPr="00D639C8">
              <w:rPr>
                <w:rFonts w:cs="Arial"/>
                <w:sz w:val="24"/>
                <w:szCs w:val="24"/>
              </w:rPr>
              <w:t>FDEP’s Office of General Counsel</w:t>
            </w:r>
          </w:p>
        </w:tc>
      </w:tr>
      <w:tr w:rsidR="00D639C8" w:rsidRPr="00D639C8" w14:paraId="6F164706" w14:textId="77777777" w:rsidTr="00D639C8">
        <w:tc>
          <w:tcPr>
            <w:tcW w:w="1165" w:type="dxa"/>
          </w:tcPr>
          <w:p w14:paraId="5E6A4FCA" w14:textId="77777777" w:rsidR="00D639C8" w:rsidRPr="00D639C8" w:rsidRDefault="00D639C8" w:rsidP="00D152B3">
            <w:pPr>
              <w:rPr>
                <w:rFonts w:cs="Arial"/>
                <w:b/>
                <w:sz w:val="24"/>
                <w:szCs w:val="24"/>
              </w:rPr>
            </w:pPr>
            <w:r w:rsidRPr="00D639C8">
              <w:rPr>
                <w:rFonts w:cs="Arial"/>
                <w:b/>
                <w:sz w:val="24"/>
                <w:szCs w:val="24"/>
              </w:rPr>
              <w:t>PRP</w:t>
            </w:r>
          </w:p>
        </w:tc>
        <w:tc>
          <w:tcPr>
            <w:tcW w:w="6300" w:type="dxa"/>
          </w:tcPr>
          <w:p w14:paraId="2F83D1D9" w14:textId="77777777" w:rsidR="00D639C8" w:rsidRPr="00D639C8" w:rsidRDefault="00D639C8" w:rsidP="00D152B3">
            <w:pPr>
              <w:rPr>
                <w:rFonts w:cs="Arial"/>
                <w:sz w:val="24"/>
                <w:szCs w:val="24"/>
              </w:rPr>
            </w:pPr>
            <w:r w:rsidRPr="00D639C8">
              <w:rPr>
                <w:rFonts w:cs="Arial"/>
                <w:sz w:val="24"/>
                <w:szCs w:val="24"/>
              </w:rPr>
              <w:t xml:space="preserve">Petroleum Restoration Program </w:t>
            </w:r>
          </w:p>
        </w:tc>
      </w:tr>
      <w:tr w:rsidR="00D639C8" w:rsidRPr="00D639C8" w14:paraId="0F03A964" w14:textId="77777777" w:rsidTr="00D639C8">
        <w:tc>
          <w:tcPr>
            <w:tcW w:w="1165" w:type="dxa"/>
          </w:tcPr>
          <w:p w14:paraId="44AF9F2D" w14:textId="77777777" w:rsidR="00D639C8" w:rsidRPr="00D639C8" w:rsidRDefault="00D639C8" w:rsidP="00D152B3">
            <w:pPr>
              <w:rPr>
                <w:rFonts w:cs="Arial"/>
                <w:b/>
                <w:sz w:val="24"/>
                <w:szCs w:val="24"/>
              </w:rPr>
            </w:pPr>
            <w:r w:rsidRPr="00D639C8">
              <w:rPr>
                <w:rFonts w:cs="Arial"/>
                <w:b/>
                <w:sz w:val="24"/>
                <w:szCs w:val="24"/>
              </w:rPr>
              <w:t>RC</w:t>
            </w:r>
          </w:p>
        </w:tc>
        <w:tc>
          <w:tcPr>
            <w:tcW w:w="6300" w:type="dxa"/>
          </w:tcPr>
          <w:p w14:paraId="207A4DB4" w14:textId="77777777" w:rsidR="00D639C8" w:rsidRPr="00D639C8" w:rsidRDefault="00D639C8" w:rsidP="00D152B3">
            <w:pPr>
              <w:rPr>
                <w:rFonts w:cs="Arial"/>
                <w:sz w:val="24"/>
                <w:szCs w:val="24"/>
              </w:rPr>
            </w:pPr>
            <w:r w:rsidRPr="00D639C8">
              <w:rPr>
                <w:rFonts w:cs="Arial"/>
                <w:sz w:val="24"/>
                <w:szCs w:val="24"/>
              </w:rPr>
              <w:t>Restrictive Covenant</w:t>
            </w:r>
          </w:p>
        </w:tc>
      </w:tr>
      <w:tr w:rsidR="00D639C8" w:rsidRPr="00D639C8" w14:paraId="33D1A278" w14:textId="77777777" w:rsidTr="00D639C8">
        <w:tc>
          <w:tcPr>
            <w:tcW w:w="1165" w:type="dxa"/>
          </w:tcPr>
          <w:p w14:paraId="1A86213F" w14:textId="77777777" w:rsidR="00D639C8" w:rsidRPr="00D639C8" w:rsidRDefault="00D639C8" w:rsidP="00D152B3">
            <w:pPr>
              <w:rPr>
                <w:rFonts w:cs="Arial"/>
                <w:b/>
                <w:sz w:val="24"/>
                <w:szCs w:val="24"/>
              </w:rPr>
            </w:pPr>
            <w:r w:rsidRPr="00D639C8">
              <w:rPr>
                <w:rFonts w:cs="Arial"/>
                <w:b/>
                <w:sz w:val="24"/>
                <w:szCs w:val="24"/>
              </w:rPr>
              <w:t>SRCO</w:t>
            </w:r>
          </w:p>
        </w:tc>
        <w:tc>
          <w:tcPr>
            <w:tcW w:w="6300" w:type="dxa"/>
          </w:tcPr>
          <w:p w14:paraId="26B61F0B" w14:textId="77777777" w:rsidR="00D639C8" w:rsidRPr="00D639C8" w:rsidRDefault="00D639C8" w:rsidP="00D152B3">
            <w:pPr>
              <w:rPr>
                <w:rFonts w:cs="Arial"/>
                <w:sz w:val="24"/>
                <w:szCs w:val="24"/>
              </w:rPr>
            </w:pPr>
            <w:r w:rsidRPr="00D639C8">
              <w:rPr>
                <w:rFonts w:cs="Arial"/>
                <w:sz w:val="24"/>
                <w:szCs w:val="24"/>
              </w:rPr>
              <w:t>Site Rehabilitation Completion Order</w:t>
            </w:r>
          </w:p>
        </w:tc>
      </w:tr>
      <w:tr w:rsidR="00D639C8" w:rsidRPr="00D639C8" w14:paraId="4717E22F" w14:textId="77777777" w:rsidTr="00D639C8">
        <w:tc>
          <w:tcPr>
            <w:tcW w:w="1165" w:type="dxa"/>
          </w:tcPr>
          <w:p w14:paraId="0C529549" w14:textId="77777777" w:rsidR="00D639C8" w:rsidRPr="00D639C8" w:rsidRDefault="00D639C8" w:rsidP="00D152B3">
            <w:pPr>
              <w:rPr>
                <w:rFonts w:cs="Arial"/>
                <w:b/>
                <w:sz w:val="24"/>
                <w:szCs w:val="24"/>
              </w:rPr>
            </w:pPr>
            <w:r w:rsidRPr="00D639C8">
              <w:rPr>
                <w:rFonts w:cs="Arial"/>
                <w:b/>
                <w:sz w:val="24"/>
                <w:szCs w:val="24"/>
              </w:rPr>
              <w:t>SPC</w:t>
            </w:r>
          </w:p>
        </w:tc>
        <w:tc>
          <w:tcPr>
            <w:tcW w:w="6300" w:type="dxa"/>
          </w:tcPr>
          <w:p w14:paraId="5735D421" w14:textId="77777777" w:rsidR="00D639C8" w:rsidRPr="00D639C8" w:rsidRDefault="00D639C8" w:rsidP="00D152B3">
            <w:pPr>
              <w:rPr>
                <w:rFonts w:cs="Arial"/>
                <w:sz w:val="24"/>
                <w:szCs w:val="24"/>
              </w:rPr>
            </w:pPr>
            <w:r w:rsidRPr="00D639C8">
              <w:rPr>
                <w:rFonts w:cs="Arial"/>
                <w:sz w:val="24"/>
                <w:szCs w:val="24"/>
              </w:rPr>
              <w:t>State Plane Coordinates system</w:t>
            </w:r>
          </w:p>
        </w:tc>
      </w:tr>
      <w:tr w:rsidR="00D639C8" w:rsidRPr="00D639C8" w14:paraId="37C6AC92" w14:textId="77777777" w:rsidTr="00D639C8">
        <w:tc>
          <w:tcPr>
            <w:tcW w:w="1165" w:type="dxa"/>
          </w:tcPr>
          <w:p w14:paraId="7A4D0A00" w14:textId="77777777" w:rsidR="00D639C8" w:rsidRPr="00D639C8" w:rsidRDefault="00D639C8" w:rsidP="00D152B3">
            <w:pPr>
              <w:rPr>
                <w:rFonts w:cs="Arial"/>
                <w:b/>
                <w:sz w:val="24"/>
                <w:szCs w:val="24"/>
              </w:rPr>
            </w:pPr>
            <w:r w:rsidRPr="00D639C8">
              <w:rPr>
                <w:rFonts w:cs="Arial"/>
                <w:b/>
                <w:sz w:val="24"/>
                <w:szCs w:val="24"/>
              </w:rPr>
              <w:t>SCTL</w:t>
            </w:r>
          </w:p>
        </w:tc>
        <w:tc>
          <w:tcPr>
            <w:tcW w:w="6300" w:type="dxa"/>
          </w:tcPr>
          <w:p w14:paraId="78859589" w14:textId="77777777" w:rsidR="00D639C8" w:rsidRPr="00D639C8" w:rsidRDefault="00D639C8" w:rsidP="00D152B3">
            <w:pPr>
              <w:rPr>
                <w:rFonts w:cs="Arial"/>
                <w:sz w:val="24"/>
                <w:szCs w:val="24"/>
              </w:rPr>
            </w:pPr>
            <w:r w:rsidRPr="00D639C8">
              <w:rPr>
                <w:rFonts w:cs="Arial"/>
                <w:sz w:val="24"/>
                <w:szCs w:val="24"/>
              </w:rPr>
              <w:t>FDEP’s Soil Cleanup Target Level</w:t>
            </w:r>
          </w:p>
        </w:tc>
      </w:tr>
      <w:tr w:rsidR="00D639C8" w:rsidRPr="00A67BCA" w14:paraId="1EE18417" w14:textId="77777777" w:rsidTr="00D639C8">
        <w:tc>
          <w:tcPr>
            <w:tcW w:w="1165" w:type="dxa"/>
          </w:tcPr>
          <w:p w14:paraId="5BD723FF" w14:textId="77777777" w:rsidR="00D639C8" w:rsidRPr="00D639C8" w:rsidRDefault="00D639C8" w:rsidP="00D152B3">
            <w:pPr>
              <w:rPr>
                <w:rFonts w:cs="Arial"/>
                <w:b/>
                <w:sz w:val="24"/>
                <w:szCs w:val="24"/>
              </w:rPr>
            </w:pPr>
            <w:r w:rsidRPr="00D639C8">
              <w:rPr>
                <w:rFonts w:cs="Arial"/>
                <w:b/>
                <w:sz w:val="24"/>
                <w:szCs w:val="24"/>
              </w:rPr>
              <w:t>WCP</w:t>
            </w:r>
          </w:p>
        </w:tc>
        <w:tc>
          <w:tcPr>
            <w:tcW w:w="6300" w:type="dxa"/>
          </w:tcPr>
          <w:p w14:paraId="678CC800" w14:textId="77777777" w:rsidR="00D639C8" w:rsidRPr="00A67BCA" w:rsidRDefault="00D639C8" w:rsidP="00D152B3">
            <w:pPr>
              <w:rPr>
                <w:rFonts w:cs="Arial"/>
                <w:sz w:val="24"/>
                <w:szCs w:val="24"/>
              </w:rPr>
            </w:pPr>
            <w:r w:rsidRPr="00D639C8">
              <w:rPr>
                <w:rFonts w:cs="Arial"/>
                <w:sz w:val="24"/>
                <w:szCs w:val="24"/>
              </w:rPr>
              <w:t>Waste Cleanup Program</w:t>
            </w:r>
          </w:p>
        </w:tc>
      </w:tr>
    </w:tbl>
    <w:p w14:paraId="3EBE546D" w14:textId="7043B579" w:rsidR="009A7586" w:rsidRDefault="009A7586" w:rsidP="00D77E6E">
      <w:pPr>
        <w:pStyle w:val="Heading2"/>
        <w:jc w:val="left"/>
        <w:rPr>
          <w:rFonts w:cs="Arial"/>
          <w:sz w:val="24"/>
          <w:szCs w:val="24"/>
        </w:rPr>
      </w:pPr>
    </w:p>
    <w:sectPr w:rsidR="009A7586" w:rsidSect="00F1217B">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AC96" w14:textId="77777777" w:rsidR="00E56DCE" w:rsidRDefault="00E56DCE">
      <w:r>
        <w:separator/>
      </w:r>
    </w:p>
  </w:endnote>
  <w:endnote w:type="continuationSeparator" w:id="0">
    <w:p w14:paraId="6C1E4C21" w14:textId="77777777" w:rsidR="00E56DCE" w:rsidRDefault="00E56DCE">
      <w:r>
        <w:continuationSeparator/>
      </w:r>
    </w:p>
  </w:endnote>
  <w:endnote w:type="continuationNotice" w:id="1">
    <w:p w14:paraId="0C34CFF9" w14:textId="77777777" w:rsidR="00E56DCE" w:rsidRDefault="00E56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2766" w14:textId="392D8ECC" w:rsidR="00F1217B" w:rsidRPr="00F1217B" w:rsidRDefault="00F1217B">
    <w:pPr>
      <w:tabs>
        <w:tab w:val="center" w:pos="4550"/>
        <w:tab w:val="left" w:pos="5818"/>
      </w:tabs>
      <w:ind w:right="260"/>
      <w:jc w:val="right"/>
      <w:rPr>
        <w:sz w:val="20"/>
        <w:szCs w:val="24"/>
      </w:rPr>
    </w:pPr>
    <w:r w:rsidRPr="00F1217B">
      <w:rPr>
        <w:spacing w:val="60"/>
        <w:sz w:val="20"/>
        <w:szCs w:val="24"/>
      </w:rPr>
      <w:t>Page</w:t>
    </w:r>
    <w:r w:rsidRPr="00F1217B">
      <w:rPr>
        <w:sz w:val="20"/>
        <w:szCs w:val="24"/>
      </w:rPr>
      <w:t xml:space="preserve"> </w:t>
    </w:r>
    <w:r w:rsidRPr="00F1217B">
      <w:rPr>
        <w:sz w:val="20"/>
        <w:szCs w:val="24"/>
      </w:rPr>
      <w:fldChar w:fldCharType="begin"/>
    </w:r>
    <w:r w:rsidRPr="00F1217B">
      <w:rPr>
        <w:sz w:val="20"/>
        <w:szCs w:val="24"/>
      </w:rPr>
      <w:instrText xml:space="preserve"> PAGE   \* MERGEFORMAT </w:instrText>
    </w:r>
    <w:r w:rsidRPr="00F1217B">
      <w:rPr>
        <w:sz w:val="20"/>
        <w:szCs w:val="24"/>
      </w:rPr>
      <w:fldChar w:fldCharType="separate"/>
    </w:r>
    <w:r w:rsidR="00654ED7">
      <w:rPr>
        <w:noProof/>
        <w:sz w:val="20"/>
        <w:szCs w:val="24"/>
      </w:rPr>
      <w:t>2</w:t>
    </w:r>
    <w:r w:rsidRPr="00F1217B">
      <w:rPr>
        <w:sz w:val="20"/>
        <w:szCs w:val="24"/>
      </w:rPr>
      <w:fldChar w:fldCharType="end"/>
    </w:r>
    <w:r w:rsidRPr="00F1217B">
      <w:rPr>
        <w:sz w:val="20"/>
        <w:szCs w:val="24"/>
      </w:rPr>
      <w:t xml:space="preserve"> | </w:t>
    </w:r>
    <w:r w:rsidRPr="00F1217B">
      <w:rPr>
        <w:sz w:val="20"/>
        <w:szCs w:val="24"/>
      </w:rPr>
      <w:fldChar w:fldCharType="begin"/>
    </w:r>
    <w:r w:rsidRPr="00F1217B">
      <w:rPr>
        <w:sz w:val="20"/>
        <w:szCs w:val="24"/>
      </w:rPr>
      <w:instrText xml:space="preserve"> NUMPAGES  \* Arabic  \* MERGEFORMAT </w:instrText>
    </w:r>
    <w:r w:rsidRPr="00F1217B">
      <w:rPr>
        <w:sz w:val="20"/>
        <w:szCs w:val="24"/>
      </w:rPr>
      <w:fldChar w:fldCharType="separate"/>
    </w:r>
    <w:r w:rsidR="00654ED7">
      <w:rPr>
        <w:noProof/>
        <w:sz w:val="20"/>
        <w:szCs w:val="24"/>
      </w:rPr>
      <w:t>3</w:t>
    </w:r>
    <w:r w:rsidRPr="00F1217B">
      <w:rPr>
        <w:sz w:val="20"/>
        <w:szCs w:val="24"/>
      </w:rPr>
      <w:fldChar w:fldCharType="end"/>
    </w:r>
  </w:p>
  <w:p w14:paraId="79D5EB09" w14:textId="77777777" w:rsidR="00F1217B" w:rsidRDefault="00F1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532C" w14:textId="77777777" w:rsidR="00E56DCE" w:rsidRDefault="00E56DCE">
      <w:r>
        <w:separator/>
      </w:r>
    </w:p>
  </w:footnote>
  <w:footnote w:type="continuationSeparator" w:id="0">
    <w:p w14:paraId="00C53E93" w14:textId="77777777" w:rsidR="00E56DCE" w:rsidRDefault="00E56DCE">
      <w:r>
        <w:continuationSeparator/>
      </w:r>
    </w:p>
  </w:footnote>
  <w:footnote w:type="continuationNotice" w:id="1">
    <w:p w14:paraId="16F82CD9" w14:textId="77777777" w:rsidR="00E56DCE" w:rsidRDefault="00E56D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2F56"/>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29A"/>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5E8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185A"/>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246E"/>
    <w:rsid w:val="0038399F"/>
    <w:rsid w:val="003843FD"/>
    <w:rsid w:val="00384D78"/>
    <w:rsid w:val="003858DF"/>
    <w:rsid w:val="00385DDA"/>
    <w:rsid w:val="00387013"/>
    <w:rsid w:val="003910B7"/>
    <w:rsid w:val="00391196"/>
    <w:rsid w:val="00391499"/>
    <w:rsid w:val="003942B4"/>
    <w:rsid w:val="00394C30"/>
    <w:rsid w:val="00394D4E"/>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6DDF"/>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6E00"/>
    <w:rsid w:val="005C768D"/>
    <w:rsid w:val="005D04B3"/>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4ED7"/>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4EF5"/>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586"/>
    <w:rsid w:val="00774671"/>
    <w:rsid w:val="007748AB"/>
    <w:rsid w:val="007804B6"/>
    <w:rsid w:val="00780B81"/>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2E3D"/>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726"/>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02C"/>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4934"/>
    <w:rsid w:val="00A878D4"/>
    <w:rsid w:val="00A907F0"/>
    <w:rsid w:val="00A9159D"/>
    <w:rsid w:val="00A93DE3"/>
    <w:rsid w:val="00A9446B"/>
    <w:rsid w:val="00A948D2"/>
    <w:rsid w:val="00A94AEF"/>
    <w:rsid w:val="00A953E4"/>
    <w:rsid w:val="00AA0EDB"/>
    <w:rsid w:val="00AA12E7"/>
    <w:rsid w:val="00AA1FC0"/>
    <w:rsid w:val="00AA2A0B"/>
    <w:rsid w:val="00AA391D"/>
    <w:rsid w:val="00AA3B3A"/>
    <w:rsid w:val="00AA3D2F"/>
    <w:rsid w:val="00AA4F3A"/>
    <w:rsid w:val="00AA50C6"/>
    <w:rsid w:val="00AA5289"/>
    <w:rsid w:val="00AA5E33"/>
    <w:rsid w:val="00AB0D01"/>
    <w:rsid w:val="00AB1073"/>
    <w:rsid w:val="00AB36CE"/>
    <w:rsid w:val="00AB5CE7"/>
    <w:rsid w:val="00AB610A"/>
    <w:rsid w:val="00AC0C88"/>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CAF"/>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4D98"/>
    <w:rsid w:val="00B15356"/>
    <w:rsid w:val="00B15A9D"/>
    <w:rsid w:val="00B16362"/>
    <w:rsid w:val="00B16DF8"/>
    <w:rsid w:val="00B1713F"/>
    <w:rsid w:val="00B20ED4"/>
    <w:rsid w:val="00B219AE"/>
    <w:rsid w:val="00B21F1D"/>
    <w:rsid w:val="00B22A9F"/>
    <w:rsid w:val="00B232BD"/>
    <w:rsid w:val="00B238A9"/>
    <w:rsid w:val="00B238AC"/>
    <w:rsid w:val="00B23F15"/>
    <w:rsid w:val="00B24496"/>
    <w:rsid w:val="00B2661C"/>
    <w:rsid w:val="00B307B6"/>
    <w:rsid w:val="00B31268"/>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199"/>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E6E"/>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5C68"/>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11F7"/>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CE"/>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A6E22"/>
    <w:rsid w:val="00EB0B16"/>
    <w:rsid w:val="00EB0DDF"/>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1E06"/>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217B"/>
    <w:rsid w:val="00F130E2"/>
    <w:rsid w:val="00F1466F"/>
    <w:rsid w:val="00F15455"/>
    <w:rsid w:val="00F17672"/>
    <w:rsid w:val="00F17894"/>
    <w:rsid w:val="00F17B07"/>
    <w:rsid w:val="00F207D1"/>
    <w:rsid w:val="00F2084F"/>
    <w:rsid w:val="00F20A4E"/>
    <w:rsid w:val="00F20F72"/>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3F69"/>
    <w:rsid w:val="00FA49BF"/>
    <w:rsid w:val="00FA5073"/>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264"/>
    <w:rsid w:val="00FE0489"/>
    <w:rsid w:val="00FE0D1D"/>
    <w:rsid w:val="00FE0E4A"/>
    <w:rsid w:val="00FE15EB"/>
    <w:rsid w:val="00FE29F9"/>
    <w:rsid w:val="00FE2C55"/>
    <w:rsid w:val="00FE3C81"/>
    <w:rsid w:val="00FE417A"/>
    <w:rsid w:val="00FE51DF"/>
    <w:rsid w:val="00FE7420"/>
    <w:rsid w:val="00FE7BCF"/>
    <w:rsid w:val="00FF0191"/>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waste/waste/content/institutional-control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lrules.org/gateway/ruleNo.asp?id=18-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7F2FA-E1F9-4CF4-8779-C76007CC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7079</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2018-03-06T21:29:00Z</dcterms:created>
  <dcterms:modified xsi:type="dcterms:W3CDTF">2018-03-06T21:29:00Z</dcterms:modified>
</cp:coreProperties>
</file>