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0B8B" w14:textId="33143054" w:rsidR="004703BA" w:rsidRPr="001E38F4" w:rsidRDefault="0032118C" w:rsidP="001E38F4">
      <w:pPr>
        <w:pStyle w:val="Heading2"/>
        <w:spacing w:after="600"/>
        <w:rPr>
          <w:rFonts w:cs="Arial"/>
          <w:sz w:val="28"/>
          <w:szCs w:val="28"/>
        </w:rPr>
      </w:pPr>
      <w:bookmarkStart w:id="0" w:name="_GoBack"/>
      <w:bookmarkEnd w:id="0"/>
      <w:r w:rsidRPr="00C474F5">
        <w:rPr>
          <w:sz w:val="24"/>
          <w:szCs w:val="24"/>
        </w:rPr>
        <w:t xml:space="preserve">Section </w:t>
      </w:r>
      <w:r w:rsidR="6ED4CC51" w:rsidRPr="00C474F5">
        <w:rPr>
          <w:sz w:val="24"/>
          <w:szCs w:val="24"/>
        </w:rPr>
        <w:t>B.1</w:t>
      </w:r>
      <w:r w:rsidRPr="00C474F5">
        <w:rPr>
          <w:sz w:val="24"/>
          <w:szCs w:val="24"/>
        </w:rPr>
        <w:t>:</w:t>
      </w:r>
      <w:r w:rsidR="6ED4CC51" w:rsidRPr="00C474F5">
        <w:rPr>
          <w:sz w:val="24"/>
          <w:szCs w:val="24"/>
        </w:rPr>
        <w:t xml:space="preserve"> </w:t>
      </w:r>
      <w:r w:rsidR="00720916" w:rsidRPr="001E38F4">
        <w:rPr>
          <w:sz w:val="24"/>
        </w:rPr>
        <w:tab/>
      </w:r>
      <w:r w:rsidR="00720916" w:rsidRPr="00C474F5">
        <w:rPr>
          <w:sz w:val="24"/>
          <w:szCs w:val="24"/>
        </w:rPr>
        <w:t>Engineering Controls (ECs)</w:t>
      </w:r>
    </w:p>
    <w:p w14:paraId="0E7AEB87" w14:textId="2736BEE3" w:rsidR="004703BA" w:rsidRDefault="00F90811" w:rsidP="001E38F4">
      <w:pPr>
        <w:spacing w:after="240"/>
        <w:jc w:val="both"/>
        <w:rPr>
          <w:rFonts w:cs="Arial"/>
          <w:sz w:val="24"/>
          <w:szCs w:val="24"/>
        </w:rPr>
      </w:pPr>
      <w:r>
        <w:rPr>
          <w:rFonts w:cs="Arial"/>
          <w:noProof/>
          <w:sz w:val="24"/>
          <w:szCs w:val="24"/>
        </w:rPr>
        <mc:AlternateContent>
          <mc:Choice Requires="wps">
            <w:drawing>
              <wp:anchor distT="0" distB="0" distL="114300" distR="114300" simplePos="0" relativeHeight="251658240" behindDoc="0" locked="0" layoutInCell="1" allowOverlap="1" wp14:anchorId="5C935B44" wp14:editId="685AA82A">
                <wp:simplePos x="0" y="0"/>
                <wp:positionH relativeFrom="margin">
                  <wp:align>right</wp:align>
                </wp:positionH>
                <wp:positionV relativeFrom="paragraph">
                  <wp:posOffset>5080</wp:posOffset>
                </wp:positionV>
                <wp:extent cx="850900" cy="1963420"/>
                <wp:effectExtent l="0" t="3810" r="2540" b="2540"/>
                <wp:wrapSquare wrapText="bothSides"/>
                <wp:docPr id="8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900" cy="1963420"/>
                        </a:xfrm>
                        <a:prstGeom prst="bracePair">
                          <a:avLst>
                            <a:gd name="adj" fmla="val 8333"/>
                          </a:avLst>
                        </a:prstGeom>
                        <a:solidFill>
                          <a:srgbClr val="8DB3E2"/>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1476037" w14:textId="73F578EA" w:rsidR="00F90811" w:rsidRDefault="00F90811" w:rsidP="00F90811">
                            <w:pPr>
                              <w:spacing w:line="288" w:lineRule="auto"/>
                              <w:jc w:val="center"/>
                              <w:rPr>
                                <w:rFonts w:cs="Arial"/>
                                <w:i/>
                                <w:iCs/>
                                <w:color w:val="D3DFEE"/>
                                <w:sz w:val="20"/>
                              </w:rPr>
                            </w:pPr>
                            <w:r>
                              <w:rPr>
                                <w:rFonts w:cs="Arial"/>
                                <w:i/>
                                <w:iCs/>
                                <w:sz w:val="20"/>
                              </w:rPr>
                              <w:t>Where an EC is used, an IC should be recorded.</w:t>
                            </w:r>
                          </w:p>
                        </w:txbxContent>
                      </wps:txbx>
                      <wps:bodyPr rot="0" vert="horz" wrap="square" lIns="91440" tIns="45720" rIns="91440" bIns="45720" anchor="ctr" anchorCtr="0" upright="1">
                        <a:noAutofit/>
                      </wps:bodyPr>
                    </wps:wsp>
                  </a:graphicData>
                </a:graphic>
              </wp:anchor>
            </w:drawing>
          </mc:Choice>
          <mc:Fallback>
            <w:pict>
              <v:shapetype w14:anchorId="5C935B4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5.8pt;margin-top:.4pt;width:67pt;height:154.6pt;rotation:90;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" filled="t" fillcolor="#8db3e2" stroked="f" strokecolor="#5c83b4" strokeweight=".25pt">
                <v:shadow opacity=".5"/>
                <v:textbox>
                  <w:txbxContent>
                    <w:p w14:paraId="71476037" w14:textId="73F578EA" w:rsidR="00F90811" w:rsidRDefault="00F90811" w:rsidP="00F90811">
                      <w:pPr>
                        <w:spacing w:line="288" w:lineRule="auto"/>
                        <w:jc w:val="center"/>
                        <w:rPr>
                          <w:rFonts w:cs="Arial"/>
                          <w:i/>
                          <w:iCs/>
                          <w:color w:val="D3DFEE"/>
                          <w:sz w:val="20"/>
                        </w:rPr>
                      </w:pPr>
                      <w:r>
                        <w:rPr>
                          <w:rFonts w:cs="Arial"/>
                          <w:i/>
                          <w:iCs/>
                          <w:sz w:val="20"/>
                        </w:rPr>
                        <w:t>Where an EC is used, an IC should be recorded.</w:t>
                      </w:r>
                    </w:p>
                  </w:txbxContent>
                </v:textbox>
                <w10:wrap type="square" anchorx="margin"/>
              </v:shape>
            </w:pict>
          </mc:Fallback>
        </mc:AlternateContent>
      </w:r>
      <w:r w:rsidR="004703BA" w:rsidRPr="16632D18">
        <w:rPr>
          <w:rFonts w:eastAsia="Arial" w:cs="Arial"/>
          <w:sz w:val="24"/>
          <w:szCs w:val="24"/>
        </w:rPr>
        <w:t xml:space="preserve">ECs, such as physical barriers, caps, covers, slurry walls, methane collection systems, and impermeable barriers, </w:t>
      </w:r>
      <w:r w:rsidR="008E522C">
        <w:rPr>
          <w:rFonts w:eastAsia="Arial" w:cs="Arial"/>
          <w:sz w:val="24"/>
          <w:szCs w:val="24"/>
        </w:rPr>
        <w:t xml:space="preserve">alone or in combination with other ECs, </w:t>
      </w:r>
      <w:r w:rsidR="004703BA" w:rsidRPr="16632D18">
        <w:rPr>
          <w:rFonts w:eastAsia="Arial" w:cs="Arial"/>
          <w:sz w:val="24"/>
          <w:szCs w:val="24"/>
        </w:rPr>
        <w:t xml:space="preserve">are designed to limit or prevent access and exposure to contamination or are designed to eliminate further migration of the contamination.  </w:t>
      </w:r>
      <w:r w:rsidR="008E522C">
        <w:rPr>
          <w:rFonts w:eastAsia="Arial" w:cs="Arial"/>
          <w:sz w:val="24"/>
          <w:szCs w:val="24"/>
        </w:rPr>
        <w:t xml:space="preserve">Fences may never be used </w:t>
      </w:r>
      <w:r>
        <w:rPr>
          <w:rFonts w:eastAsia="Arial" w:cs="Arial"/>
          <w:sz w:val="24"/>
          <w:szCs w:val="24"/>
        </w:rPr>
        <w:t>as stand-</w:t>
      </w:r>
      <w:r w:rsidR="008E522C">
        <w:rPr>
          <w:rFonts w:eastAsia="Arial" w:cs="Arial"/>
          <w:sz w:val="24"/>
          <w:szCs w:val="24"/>
        </w:rPr>
        <w:t xml:space="preserve">alone ECs, but only in combination with other types of ECs.  </w:t>
      </w:r>
      <w:r w:rsidR="004703BA" w:rsidRPr="16632D18">
        <w:rPr>
          <w:rFonts w:eastAsia="Arial" w:cs="Arial"/>
          <w:sz w:val="24"/>
          <w:szCs w:val="24"/>
        </w:rPr>
        <w:t xml:space="preserve">Where an EC is </w:t>
      </w:r>
      <w:r w:rsidR="00120308">
        <w:rPr>
          <w:rFonts w:eastAsia="Arial" w:cs="Arial"/>
          <w:sz w:val="24"/>
          <w:szCs w:val="24"/>
        </w:rPr>
        <w:t>used</w:t>
      </w:r>
      <w:r w:rsidR="004703BA" w:rsidRPr="16632D18">
        <w:rPr>
          <w:rFonts w:eastAsia="Arial" w:cs="Arial"/>
          <w:sz w:val="24"/>
          <w:szCs w:val="24"/>
        </w:rPr>
        <w:t>, a</w:t>
      </w:r>
      <w:r w:rsidR="00962D2F">
        <w:rPr>
          <w:rFonts w:eastAsia="Arial" w:cs="Arial"/>
          <w:sz w:val="24"/>
          <w:szCs w:val="24"/>
        </w:rPr>
        <w:t xml:space="preserve"> recorded</w:t>
      </w:r>
      <w:r w:rsidR="004703BA" w:rsidRPr="16632D18">
        <w:rPr>
          <w:rFonts w:eastAsia="Arial" w:cs="Arial"/>
          <w:sz w:val="24"/>
          <w:szCs w:val="24"/>
        </w:rPr>
        <w:t xml:space="preserve"> IC should be put in place to ensure that the EC is properly maintained and FDEP has access to inspect the EC.</w:t>
      </w:r>
      <w:r w:rsidR="004703BA" w:rsidRPr="16632D18">
        <w:rPr>
          <w:rStyle w:val="FootnoteReference"/>
          <w:rFonts w:eastAsia="Arial" w:cs="Arial"/>
          <w:sz w:val="24"/>
          <w:szCs w:val="24"/>
        </w:rPr>
        <w:footnoteReference w:id="2"/>
      </w:r>
      <w:r w:rsidRPr="00F90811">
        <w:rPr>
          <w:rFonts w:cs="Arial"/>
          <w:noProof/>
          <w:sz w:val="24"/>
          <w:szCs w:val="24"/>
        </w:rPr>
        <w:t xml:space="preserve"> </w:t>
      </w:r>
    </w:p>
    <w:p w14:paraId="3EBE546D" w14:textId="1C526A49" w:rsidR="009A7586" w:rsidRDefault="00F90811" w:rsidP="00557EC0">
      <w:pPr>
        <w:spacing w:after="240"/>
        <w:jc w:val="both"/>
        <w:rPr>
          <w:rFonts w:cs="Arial"/>
          <w:sz w:val="24"/>
          <w:szCs w:val="24"/>
        </w:rPr>
      </w:pPr>
      <w:r>
        <w:rPr>
          <w:rFonts w:eastAsia="Arial" w:cs="Arial"/>
          <w:sz w:val="24"/>
          <w:szCs w:val="24"/>
        </w:rPr>
        <w:t>To ensure that f</w:t>
      </w:r>
      <w:r w:rsidR="004703BA" w:rsidRPr="16632D18">
        <w:rPr>
          <w:rFonts w:eastAsia="Arial" w:cs="Arial"/>
          <w:sz w:val="24"/>
          <w:szCs w:val="24"/>
        </w:rPr>
        <w:t>uture owners of contaminated property continue to maintain and r</w:t>
      </w:r>
      <w:r w:rsidR="00962D2F">
        <w:rPr>
          <w:rFonts w:eastAsia="Arial" w:cs="Arial"/>
          <w:sz w:val="24"/>
          <w:szCs w:val="24"/>
        </w:rPr>
        <w:t>e</w:t>
      </w:r>
      <w:r w:rsidR="004703BA" w:rsidRPr="16632D18">
        <w:rPr>
          <w:rFonts w:eastAsia="Arial" w:cs="Arial"/>
          <w:sz w:val="24"/>
          <w:szCs w:val="24"/>
        </w:rPr>
        <w:t>pair an EC</w:t>
      </w:r>
      <w:r>
        <w:rPr>
          <w:rFonts w:eastAsia="Arial" w:cs="Arial"/>
          <w:sz w:val="24"/>
          <w:szCs w:val="24"/>
        </w:rPr>
        <w:t>,</w:t>
      </w:r>
      <w:r w:rsidR="004703BA" w:rsidRPr="16632D18">
        <w:rPr>
          <w:rFonts w:eastAsia="Arial" w:cs="Arial"/>
          <w:sz w:val="24"/>
          <w:szCs w:val="24"/>
        </w:rPr>
        <w:t xml:space="preserve"> those requirements are imposed through an IC that “runs with the land,” which is typically a</w:t>
      </w:r>
      <w:r>
        <w:rPr>
          <w:rFonts w:eastAsia="Arial" w:cs="Arial"/>
          <w:sz w:val="24"/>
          <w:szCs w:val="24"/>
        </w:rPr>
        <w:t>n</w:t>
      </w:r>
      <w:r w:rsidR="004703BA" w:rsidRPr="16632D18">
        <w:rPr>
          <w:rFonts w:eastAsia="Arial" w:cs="Arial"/>
          <w:sz w:val="24"/>
          <w:szCs w:val="24"/>
        </w:rPr>
        <w:t xml:space="preserve"> </w:t>
      </w:r>
      <w:r w:rsidR="00AE14BC">
        <w:rPr>
          <w:rFonts w:eastAsia="Arial" w:cs="Arial"/>
          <w:sz w:val="24"/>
          <w:szCs w:val="24"/>
        </w:rPr>
        <w:t>RC</w:t>
      </w:r>
      <w:r w:rsidR="004703BA" w:rsidRPr="16632D18">
        <w:rPr>
          <w:rFonts w:eastAsia="Arial" w:cs="Arial"/>
          <w:sz w:val="24"/>
          <w:szCs w:val="24"/>
        </w:rPr>
        <w:t>.  That means that all future owners are required by law to comply with the terms of the IC, including maintenance and repair of ECs, and this mechanism is the assurance FDEP needs to agree with the allowance of</w:t>
      </w:r>
      <w:r w:rsidR="00962D2F">
        <w:rPr>
          <w:rFonts w:eastAsia="Arial" w:cs="Arial"/>
          <w:sz w:val="24"/>
          <w:szCs w:val="24"/>
        </w:rPr>
        <w:t xml:space="preserve"> this type of control</w:t>
      </w:r>
      <w:r w:rsidR="004703BA" w:rsidRPr="16632D18">
        <w:rPr>
          <w:rFonts w:eastAsia="Arial" w:cs="Arial"/>
          <w:sz w:val="24"/>
          <w:szCs w:val="24"/>
        </w:rPr>
        <w:t xml:space="preserve">.  </w:t>
      </w:r>
      <w:bookmarkStart w:id="1" w:name="_DV_C41"/>
      <w:r w:rsidR="004703BA" w:rsidRPr="00FB1B0E">
        <w:rPr>
          <w:rStyle w:val="DeltaViewInsertion"/>
          <w:color w:val="auto"/>
          <w:sz w:val="24"/>
          <w:szCs w:val="24"/>
          <w:u w:val="none"/>
        </w:rPr>
        <w:t>The nature of the EC and the relationship between the IC</w:t>
      </w:r>
      <w:r w:rsidR="00962D2F">
        <w:rPr>
          <w:rStyle w:val="DeltaViewInsertion"/>
          <w:color w:val="auto"/>
          <w:sz w:val="24"/>
          <w:szCs w:val="24"/>
          <w:u w:val="none"/>
        </w:rPr>
        <w:t xml:space="preserve"> (e.g., RC)</w:t>
      </w:r>
      <w:r w:rsidR="004703BA" w:rsidRPr="00FB1B0E">
        <w:rPr>
          <w:rStyle w:val="DeltaViewInsertion"/>
          <w:color w:val="auto"/>
          <w:sz w:val="24"/>
          <w:szCs w:val="24"/>
          <w:u w:val="none"/>
        </w:rPr>
        <w:t xml:space="preserve"> and the EC should be very clear in the language in the </w:t>
      </w:r>
      <w:r w:rsidR="00B247A7">
        <w:rPr>
          <w:rStyle w:val="DeltaViewInsertion"/>
          <w:color w:val="auto"/>
          <w:sz w:val="24"/>
          <w:szCs w:val="24"/>
          <w:u w:val="none"/>
        </w:rPr>
        <w:t xml:space="preserve">Engineering Control Maintenance Plan </w:t>
      </w:r>
      <w:r w:rsidR="00962D2F">
        <w:rPr>
          <w:rStyle w:val="DeltaViewInsertion"/>
          <w:color w:val="auto"/>
          <w:sz w:val="24"/>
          <w:szCs w:val="24"/>
          <w:u w:val="none"/>
        </w:rPr>
        <w:t xml:space="preserve">(ECMP) </w:t>
      </w:r>
      <w:r w:rsidR="00B247A7">
        <w:rPr>
          <w:rStyle w:val="DeltaViewInsertion"/>
          <w:color w:val="auto"/>
          <w:sz w:val="24"/>
          <w:szCs w:val="24"/>
          <w:u w:val="none"/>
        </w:rPr>
        <w:t>referenced in the IC</w:t>
      </w:r>
      <w:r w:rsidR="004703BA" w:rsidRPr="00FB1B0E">
        <w:rPr>
          <w:rStyle w:val="DeltaViewInsertion"/>
          <w:color w:val="auto"/>
          <w:sz w:val="24"/>
          <w:szCs w:val="24"/>
          <w:u w:val="none"/>
        </w:rPr>
        <w:t>, including any requirements on the future maintenance or repair of the EC</w:t>
      </w:r>
      <w:r>
        <w:rPr>
          <w:rStyle w:val="DeltaViewInsertion"/>
          <w:color w:val="auto"/>
          <w:sz w:val="24"/>
          <w:szCs w:val="24"/>
          <w:u w:val="none"/>
        </w:rPr>
        <w:t>.</w:t>
      </w:r>
      <w:r w:rsidR="004703BA" w:rsidRPr="00FB1B0E">
        <w:rPr>
          <w:rStyle w:val="DeltaViewInsertion"/>
          <w:color w:val="auto"/>
          <w:sz w:val="24"/>
          <w:szCs w:val="24"/>
          <w:u w:val="none"/>
        </w:rPr>
        <w:t xml:space="preserve"> </w:t>
      </w:r>
      <w:r>
        <w:rPr>
          <w:rStyle w:val="DeltaViewInsertion"/>
          <w:color w:val="auto"/>
          <w:sz w:val="24"/>
          <w:szCs w:val="24"/>
          <w:u w:val="none"/>
        </w:rPr>
        <w:t xml:space="preserve"> The IC should ensure that maintenance and repair of the EC</w:t>
      </w:r>
      <w:r w:rsidR="004703BA" w:rsidRPr="00FB1B0E">
        <w:rPr>
          <w:rStyle w:val="DeltaViewInsertion"/>
          <w:color w:val="auto"/>
          <w:sz w:val="24"/>
          <w:szCs w:val="24"/>
          <w:u w:val="none"/>
        </w:rPr>
        <w:t xml:space="preserve"> will be the responsibility of </w:t>
      </w:r>
      <w:r w:rsidR="008A090A">
        <w:rPr>
          <w:rStyle w:val="DeltaViewInsertion"/>
          <w:color w:val="auto"/>
          <w:sz w:val="24"/>
          <w:szCs w:val="24"/>
          <w:u w:val="none"/>
        </w:rPr>
        <w:t xml:space="preserve">the present and </w:t>
      </w:r>
      <w:r w:rsidR="004703BA" w:rsidRPr="00FB1B0E">
        <w:rPr>
          <w:rStyle w:val="DeltaViewInsertion"/>
          <w:color w:val="auto"/>
          <w:sz w:val="24"/>
          <w:szCs w:val="24"/>
          <w:u w:val="none"/>
        </w:rPr>
        <w:t>subsequent owners of the property subject to the IC.</w:t>
      </w:r>
      <w:bookmarkEnd w:id="1"/>
      <w:r w:rsidR="004703BA" w:rsidRPr="00FB1B0E">
        <w:rPr>
          <w:sz w:val="24"/>
          <w:szCs w:val="24"/>
        </w:rPr>
        <w:t xml:space="preserve"> </w:t>
      </w:r>
      <w:r w:rsidR="004703BA" w:rsidRPr="00792E8C">
        <w:rPr>
          <w:sz w:val="24"/>
          <w:szCs w:val="24"/>
        </w:rPr>
        <w:t xml:space="preserve"> </w:t>
      </w:r>
      <w:r w:rsidR="004703BA" w:rsidRPr="16632D18">
        <w:rPr>
          <w:rFonts w:eastAsia="Arial" w:cs="Arial"/>
          <w:sz w:val="24"/>
          <w:szCs w:val="24"/>
        </w:rPr>
        <w:t xml:space="preserve">The current use of the property and the property owner’s long-term plans for the property are of interest in the formulation of the text of the IC to ensure </w:t>
      </w:r>
      <w:proofErr w:type="gramStart"/>
      <w:r w:rsidR="004703BA" w:rsidRPr="16632D18">
        <w:rPr>
          <w:rFonts w:eastAsia="Arial" w:cs="Arial"/>
          <w:sz w:val="24"/>
          <w:szCs w:val="24"/>
        </w:rPr>
        <w:t>sufficient</w:t>
      </w:r>
      <w:proofErr w:type="gramEnd"/>
      <w:r w:rsidR="004703BA" w:rsidRPr="16632D18">
        <w:rPr>
          <w:rFonts w:eastAsia="Arial" w:cs="Arial"/>
          <w:sz w:val="24"/>
          <w:szCs w:val="24"/>
        </w:rPr>
        <w:t xml:space="preserve"> protection of human health and the environment.</w:t>
      </w:r>
      <w:r w:rsidR="004703BA" w:rsidRPr="16632D18">
        <w:rPr>
          <w:rStyle w:val="FootnoteReference"/>
          <w:rFonts w:eastAsia="Arial" w:cs="Arial"/>
          <w:sz w:val="24"/>
          <w:szCs w:val="24"/>
        </w:rPr>
        <w:footnoteReference w:id="3"/>
      </w:r>
      <w:bookmarkStart w:id="2" w:name="_DV_M101"/>
      <w:bookmarkStart w:id="3" w:name="_DV_M102"/>
      <w:bookmarkStart w:id="4" w:name="_DV_M103"/>
      <w:bookmarkStart w:id="5" w:name="_DV_M104"/>
      <w:bookmarkStart w:id="6" w:name="_DV_C98"/>
      <w:bookmarkStart w:id="7" w:name="_DV_M175"/>
      <w:bookmarkStart w:id="8" w:name="_DV_M178"/>
      <w:bookmarkStart w:id="9" w:name="_DV_M215"/>
      <w:bookmarkStart w:id="10" w:name="_DV_M216"/>
      <w:bookmarkStart w:id="11" w:name="_DV_M217"/>
      <w:bookmarkStart w:id="12" w:name="_DV_C199"/>
      <w:bookmarkStart w:id="13" w:name="_DV_M227"/>
      <w:bookmarkStart w:id="14" w:name="_DV_M228"/>
      <w:bookmarkStart w:id="15" w:name="_DV_M229"/>
      <w:bookmarkStart w:id="16" w:name="_DV_M23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ectPr w:rsidR="009A7586" w:rsidSect="00F90811">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4C9C" w14:textId="77777777" w:rsidR="009D5B5F" w:rsidRDefault="009D5B5F">
      <w:r>
        <w:separator/>
      </w:r>
    </w:p>
  </w:endnote>
  <w:endnote w:type="continuationSeparator" w:id="0">
    <w:p w14:paraId="35D4D81E" w14:textId="77777777" w:rsidR="009D5B5F" w:rsidRDefault="009D5B5F">
      <w:r>
        <w:continuationSeparator/>
      </w:r>
    </w:p>
  </w:endnote>
  <w:endnote w:type="continuationNotice" w:id="1">
    <w:p w14:paraId="1147296A" w14:textId="77777777" w:rsidR="009D5B5F" w:rsidRDefault="009D5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575A4757" w:rsidR="003152D9" w:rsidRPr="002F70B0" w:rsidRDefault="003152D9" w:rsidP="00720916">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sidR="00F90811">
      <w:rPr>
        <w:noProof/>
        <w:sz w:val="18"/>
        <w:szCs w:val="18"/>
      </w:rPr>
      <w:t>B1-ECs.docx</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736EE0">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736EE0">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F90811">
      <w:rPr>
        <w:noProof/>
        <w:sz w:val="18"/>
        <w:szCs w:val="18"/>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57D3" w14:textId="77777777" w:rsidR="009D5B5F" w:rsidRDefault="009D5B5F">
      <w:r>
        <w:separator/>
      </w:r>
    </w:p>
  </w:footnote>
  <w:footnote w:type="continuationSeparator" w:id="0">
    <w:p w14:paraId="19F02D88" w14:textId="77777777" w:rsidR="009D5B5F" w:rsidRDefault="009D5B5F">
      <w:r>
        <w:continuationSeparator/>
      </w:r>
    </w:p>
  </w:footnote>
  <w:footnote w:type="continuationNotice" w:id="1">
    <w:p w14:paraId="23614CF8" w14:textId="77777777" w:rsidR="009D5B5F" w:rsidRDefault="009D5B5F"/>
  </w:footnote>
  <w:footnote w:id="2">
    <w:p w14:paraId="06E72172" w14:textId="543A599C" w:rsidR="003152D9" w:rsidRDefault="003152D9" w:rsidP="004703BA">
      <w:pPr>
        <w:pStyle w:val="FootnoteText"/>
        <w:rPr>
          <w:sz w:val="18"/>
          <w:szCs w:val="18"/>
        </w:rPr>
      </w:pPr>
      <w:r>
        <w:rPr>
          <w:rStyle w:val="FootnoteReference"/>
        </w:rPr>
        <w:footnoteRef/>
      </w:r>
      <w:r>
        <w:t xml:space="preserve"> </w:t>
      </w:r>
      <w:r>
        <w:rPr>
          <w:sz w:val="18"/>
          <w:szCs w:val="18"/>
        </w:rPr>
        <w:t>See Attachment 31: Engineering Controls Reporting and Monitoring.</w:t>
      </w:r>
    </w:p>
  </w:footnote>
  <w:footnote w:id="3">
    <w:p w14:paraId="6BFAD3AD" w14:textId="5F44A9B2" w:rsidR="003152D9" w:rsidRDefault="003152D9" w:rsidP="009074E0">
      <w:pPr>
        <w:pStyle w:val="FootnoteText"/>
        <w:jc w:val="both"/>
        <w:rPr>
          <w:rFonts w:cs="Arial"/>
          <w:sz w:val="18"/>
          <w:szCs w:val="18"/>
        </w:rPr>
      </w:pPr>
      <w:r w:rsidRPr="16632D18">
        <w:rPr>
          <w:rStyle w:val="FootnoteReference"/>
          <w:rFonts w:eastAsia="Arial" w:cs="Arial"/>
          <w:sz w:val="18"/>
          <w:szCs w:val="18"/>
        </w:rPr>
        <w:footnoteRef/>
      </w:r>
      <w:r w:rsidRPr="16632D18">
        <w:rPr>
          <w:rFonts w:eastAsia="Arial" w:cs="Arial"/>
          <w:sz w:val="18"/>
          <w:szCs w:val="18"/>
        </w:rPr>
        <w:t xml:space="preserve"> There may be certain instances when FDEP, to ensure the durability of the EC, may request that the owners/responsible parties present evidence that they have </w:t>
      </w:r>
      <w:proofErr w:type="gramStart"/>
      <w:r w:rsidRPr="16632D18">
        <w:rPr>
          <w:rFonts w:eastAsia="Arial" w:cs="Arial"/>
          <w:sz w:val="18"/>
          <w:szCs w:val="18"/>
        </w:rPr>
        <w:t>sufficient</w:t>
      </w:r>
      <w:proofErr w:type="gramEnd"/>
      <w:r w:rsidRPr="16632D18">
        <w:rPr>
          <w:rFonts w:eastAsia="Arial" w:cs="Arial"/>
          <w:sz w:val="18"/>
          <w:szCs w:val="18"/>
        </w:rPr>
        <w:t xml:space="preserve"> financial resources to maintain the 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8ED689" w14:paraId="7AC15661" w14:textId="77777777" w:rsidTr="258ED689">
      <w:tc>
        <w:tcPr>
          <w:tcW w:w="3120" w:type="dxa"/>
        </w:tcPr>
        <w:p w14:paraId="4DD1C8F4" w14:textId="04F67FB1" w:rsidR="258ED689" w:rsidRDefault="258ED689" w:rsidP="00F90811">
          <w:pPr>
            <w:pStyle w:val="Header"/>
            <w:ind w:left="-115"/>
          </w:pPr>
        </w:p>
      </w:tc>
      <w:tc>
        <w:tcPr>
          <w:tcW w:w="3120" w:type="dxa"/>
        </w:tcPr>
        <w:p w14:paraId="11F92350" w14:textId="42E6A316" w:rsidR="258ED689" w:rsidRDefault="258ED689" w:rsidP="00F90811">
          <w:pPr>
            <w:pStyle w:val="Header"/>
            <w:jc w:val="center"/>
          </w:pPr>
        </w:p>
      </w:tc>
      <w:tc>
        <w:tcPr>
          <w:tcW w:w="3120" w:type="dxa"/>
        </w:tcPr>
        <w:p w14:paraId="2A19BB78" w14:textId="1B8AD597" w:rsidR="258ED689" w:rsidRDefault="258ED689" w:rsidP="00F90811">
          <w:pPr>
            <w:pStyle w:val="Header"/>
            <w:ind w:right="-115"/>
            <w:jc w:val="right"/>
          </w:pPr>
        </w:p>
      </w:tc>
    </w:tr>
  </w:tbl>
  <w:p w14:paraId="5F5A2D37" w14:textId="1E9B8397" w:rsidR="258ED689" w:rsidRDefault="258ED689" w:rsidP="00F9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5EAD"/>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0308"/>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38F4"/>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0BF5"/>
    <w:rsid w:val="00281E9B"/>
    <w:rsid w:val="0028278F"/>
    <w:rsid w:val="00282BBB"/>
    <w:rsid w:val="00283521"/>
    <w:rsid w:val="00284CFE"/>
    <w:rsid w:val="00284FB6"/>
    <w:rsid w:val="00285F47"/>
    <w:rsid w:val="00286FE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5EC"/>
    <w:rsid w:val="002F7DBF"/>
    <w:rsid w:val="0030006C"/>
    <w:rsid w:val="00300C91"/>
    <w:rsid w:val="0030191F"/>
    <w:rsid w:val="00301AB7"/>
    <w:rsid w:val="00301D3C"/>
    <w:rsid w:val="003022DA"/>
    <w:rsid w:val="00302895"/>
    <w:rsid w:val="00302DF0"/>
    <w:rsid w:val="00302E6F"/>
    <w:rsid w:val="0030343C"/>
    <w:rsid w:val="00304174"/>
    <w:rsid w:val="00305A2B"/>
    <w:rsid w:val="00305E08"/>
    <w:rsid w:val="00307561"/>
    <w:rsid w:val="0031192A"/>
    <w:rsid w:val="00312582"/>
    <w:rsid w:val="00312FCF"/>
    <w:rsid w:val="003152D9"/>
    <w:rsid w:val="00315959"/>
    <w:rsid w:val="00315EA9"/>
    <w:rsid w:val="00315F50"/>
    <w:rsid w:val="00316598"/>
    <w:rsid w:val="0032118C"/>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5E4D"/>
    <w:rsid w:val="00437375"/>
    <w:rsid w:val="0043798E"/>
    <w:rsid w:val="004425D0"/>
    <w:rsid w:val="00443D5C"/>
    <w:rsid w:val="00443FC0"/>
    <w:rsid w:val="00447F2E"/>
    <w:rsid w:val="00450543"/>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537"/>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57EC0"/>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0916"/>
    <w:rsid w:val="0072218A"/>
    <w:rsid w:val="00722A11"/>
    <w:rsid w:val="0072480B"/>
    <w:rsid w:val="0072502D"/>
    <w:rsid w:val="00726417"/>
    <w:rsid w:val="00727C93"/>
    <w:rsid w:val="0073154E"/>
    <w:rsid w:val="00734093"/>
    <w:rsid w:val="00734637"/>
    <w:rsid w:val="00736EE0"/>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39C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090A"/>
    <w:rsid w:val="008A26AF"/>
    <w:rsid w:val="008A273E"/>
    <w:rsid w:val="008A2F30"/>
    <w:rsid w:val="008A31CE"/>
    <w:rsid w:val="008A5CD5"/>
    <w:rsid w:val="008A792A"/>
    <w:rsid w:val="008B33B8"/>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D2F"/>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C7770"/>
    <w:rsid w:val="009D2563"/>
    <w:rsid w:val="009D26C4"/>
    <w:rsid w:val="009D3A51"/>
    <w:rsid w:val="009D576B"/>
    <w:rsid w:val="009D5B5F"/>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96FE5"/>
    <w:rsid w:val="00AA0EDB"/>
    <w:rsid w:val="00AA12E7"/>
    <w:rsid w:val="00AA1FC0"/>
    <w:rsid w:val="00AA2A0B"/>
    <w:rsid w:val="00AA3B3A"/>
    <w:rsid w:val="00AA3D2F"/>
    <w:rsid w:val="00AA4F3A"/>
    <w:rsid w:val="00AA50C6"/>
    <w:rsid w:val="00AA5289"/>
    <w:rsid w:val="00AA5E33"/>
    <w:rsid w:val="00AA68E9"/>
    <w:rsid w:val="00AB0D01"/>
    <w:rsid w:val="00AB1073"/>
    <w:rsid w:val="00AB36CE"/>
    <w:rsid w:val="00AB5CE7"/>
    <w:rsid w:val="00AB610A"/>
    <w:rsid w:val="00AB7DB5"/>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14BC"/>
    <w:rsid w:val="00AE210A"/>
    <w:rsid w:val="00AE26FA"/>
    <w:rsid w:val="00AE333D"/>
    <w:rsid w:val="00AE3F54"/>
    <w:rsid w:val="00AE40E1"/>
    <w:rsid w:val="00AE48E0"/>
    <w:rsid w:val="00AE5FF5"/>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7A7"/>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4F5"/>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6D77"/>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310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3F70"/>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0811"/>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258ED689"/>
    <w:rsid w:val="63FFCAA3"/>
    <w:rsid w:val="6ED4C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15:docId w15:val="{FC59B2F5-7E06-451A-B0E0-877DCFC5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bce3612e-db85-4acd-8599-3a8febd7decf">Additional edits BJD 08/23/2021</Comments>
    <Predecessors xmlns="http://schemas.microsoft.com/sharepoint/v4" xsi:nil="true"/>
    <_dlc_DocId xmlns="ed83551b-1c74-4eb0-a689-e3b00317a30f">NPVFY6KNS3ZM-64548901-79</_dlc_DocId>
    <_dlc_DocIdUrl xmlns="ed83551b-1c74-4eb0-a689-e3b00317a30f">
      <Url>https://floridadep.sharepoint.com/dwm/dbs/_layouts/15/DocIdRedir.aspx?ID=NPVFY6KNS3ZM-64548901-79</Url>
      <Description>NPVFY6KNS3ZM-64548901-79</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2021-08-23T04:00:00+00:00</_Revision>
    <Att_x0023_ xmlns="bce3612e-db85-4acd-8599-3a8febd7decf">B.1</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UserInfo>
        <DisplayName>Cinquino, Dawn</DisplayName>
        <AccountId>5534</AccountId>
        <AccountType/>
      </UserInfo>
    </SharedWithUsers>
    <Publish_x0020_Date xmlns="bce3612e-db85-4acd-8599-3a8febd7decf">March 2017</Publish_x0020_Date>
    <ICPG_x0020_Name xmlns="bce3612e-db85-4acd-8599-3a8febd7decf">Section</ICPG_x0020_Name>
    <Issues_x002f_Resolution xmlns="bce3612e-db85-4acd-8599-3a8febd7decf">Updated</Issues_x002f_Resolu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030A-8EE9-4BC6-B9AE-923A9F6A8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51F4D-DF81-45EE-9B75-1539B3C8F238}">
  <ds:schemaRefs>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4"/>
    <ds:schemaRef ds:uri="http://purl.org/dc/terms/"/>
    <ds:schemaRef ds:uri="http://schemas.openxmlformats.org/package/2006/metadata/core-properties"/>
    <ds:schemaRef ds:uri="c05288ad-27ce-44c7-9a1f-49590b356f7f"/>
    <ds:schemaRef ds:uri="http://schemas.microsoft.com/office/2006/documentManagement/types"/>
    <ds:schemaRef ds:uri="ed83551b-1c74-4eb0-a689-e3b00317a30f"/>
    <ds:schemaRef ds:uri="bce3612e-db85-4acd-8599-3a8febd7decf"/>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4.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5.xml><?xml version="1.0" encoding="utf-8"?>
<ds:datastoreItem xmlns:ds="http://schemas.openxmlformats.org/officeDocument/2006/customXml" ds:itemID="{B3031892-8626-46A2-907B-D08D09EA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279</Words>
  <Characters>1360</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Smith, Leah J.</dc:creator>
  <cp:lastModifiedBy>Smith, Leah J.</cp:lastModifiedBy>
  <cp:revision>2</cp:revision>
  <dcterms:created xsi:type="dcterms:W3CDTF">2018-10-18T22:28:00Z</dcterms:created>
  <dcterms:modified xsi:type="dcterms:W3CDTF">2021-09-29T19:38:00Z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20857294-1066-42df-aacb-52d0383dd40b</vt:lpwstr>
  </property>
  <property fmtid="{D5CDD505-2E9C-101B-9397-08002B2CF9AE}" pid="4" name="Att#">
    <vt:r8>100</vt:r8>
  </property>
  <property fmtid="{D5CDD505-2E9C-101B-9397-08002B2CF9AE}" pid="5" name="_Revision">
    <vt:filetime>2017-03-01T05:00:00Z</vt:filetime>
  </property>
  <property fmtid="{D5CDD505-2E9C-101B-9397-08002B2CF9AE}" pid="6" name="AuthorIds_UIVersion_19968">
    <vt:lpwstr>93</vt:lpwstr>
  </property>
  <property fmtid="{D5CDD505-2E9C-101B-9397-08002B2CF9AE}" pid="7" name="AuthorIds_UIVersion_20992">
    <vt:lpwstr>93</vt:lpwstr>
  </property>
</Properties>
</file>