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CE5F" w14:textId="7E12EFDC" w:rsidR="004703BA" w:rsidRPr="00DB7C0F" w:rsidRDefault="00DB7C0F" w:rsidP="00DB7C0F">
      <w:pPr>
        <w:pStyle w:val="Heading2"/>
        <w:spacing w:after="600"/>
        <w:rPr>
          <w:sz w:val="24"/>
        </w:rPr>
      </w:pPr>
      <w:bookmarkStart w:id="0" w:name="_Toc506977033"/>
      <w:r w:rsidRPr="00DB7C0F">
        <w:rPr>
          <w:sz w:val="24"/>
        </w:rPr>
        <w:t xml:space="preserve">Section </w:t>
      </w:r>
      <w:r w:rsidR="00E92A39">
        <w:rPr>
          <w:sz w:val="24"/>
        </w:rPr>
        <w:t>C.17</w:t>
      </w:r>
      <w:r w:rsidRPr="00DB7C0F">
        <w:rPr>
          <w:sz w:val="24"/>
        </w:rPr>
        <w:t>:</w:t>
      </w:r>
      <w:r w:rsidR="00E92A39">
        <w:rPr>
          <w:sz w:val="24"/>
        </w:rPr>
        <w:t xml:space="preserve">  </w:t>
      </w:r>
      <w:bookmarkStart w:id="1" w:name="_GoBack"/>
      <w:bookmarkEnd w:id="1"/>
      <w:r w:rsidR="004703BA" w:rsidRPr="00DB7C0F">
        <w:rPr>
          <w:sz w:val="24"/>
        </w:rPr>
        <w:t>IC Notice</w:t>
      </w:r>
      <w:r w:rsidR="00130577" w:rsidRPr="00DB7C0F">
        <w:rPr>
          <w:sz w:val="24"/>
        </w:rPr>
        <w:t xml:space="preserve"> Procedures</w:t>
      </w:r>
      <w:bookmarkEnd w:id="0"/>
    </w:p>
    <w:p w14:paraId="51A2266A" w14:textId="018FE3A4" w:rsidR="004703BA" w:rsidRPr="00892DA2" w:rsidRDefault="004703BA" w:rsidP="004703BA">
      <w:pPr>
        <w:jc w:val="both"/>
        <w:rPr>
          <w:rFonts w:cs="Arial"/>
          <w:sz w:val="24"/>
          <w:szCs w:val="24"/>
        </w:rPr>
      </w:pPr>
      <w:bookmarkStart w:id="2" w:name="_DV_C199"/>
      <w:bookmarkEnd w:id="2"/>
      <w:r w:rsidRPr="00892DA2">
        <w:rPr>
          <w:rStyle w:val="DeltaViewInsertion"/>
          <w:color w:val="auto"/>
          <w:sz w:val="24"/>
          <w:szCs w:val="24"/>
          <w:u w:val="none"/>
        </w:rPr>
        <w:t>After the FDEP has issued its letter confirming approval of the recommended conditional closure, and in any case prior to FDEP approval of</w:t>
      </w:r>
      <w:r w:rsidRPr="00892DA2">
        <w:rPr>
          <w:rStyle w:val="DeltaViewInsertion"/>
          <w:color w:val="auto"/>
          <w:u w:val="none"/>
        </w:rPr>
        <w:t xml:space="preserve"> the </w:t>
      </w:r>
      <w:r w:rsidRPr="00892DA2">
        <w:rPr>
          <w:rStyle w:val="DeltaViewInsertion"/>
          <w:color w:val="auto"/>
          <w:sz w:val="24"/>
          <w:szCs w:val="24"/>
          <w:u w:val="none"/>
        </w:rPr>
        <w:t>IC</w:t>
      </w:r>
      <w:r w:rsidRPr="00892DA2">
        <w:rPr>
          <w:rFonts w:eastAsia="Arial" w:cs="Arial"/>
          <w:sz w:val="24"/>
          <w:szCs w:val="24"/>
        </w:rPr>
        <w:t>, notice</w:t>
      </w:r>
      <w:r w:rsidRPr="16632D18">
        <w:rPr>
          <w:rFonts w:eastAsia="Arial" w:cs="Arial"/>
          <w:sz w:val="24"/>
          <w:szCs w:val="24"/>
        </w:rPr>
        <w:t xml:space="preserve"> and a 30-day opportunity </w:t>
      </w:r>
      <w:r w:rsidRPr="00892DA2">
        <w:rPr>
          <w:rFonts w:eastAsia="Arial" w:cs="Arial"/>
          <w:sz w:val="24"/>
          <w:szCs w:val="24"/>
        </w:rPr>
        <w:t>to comment on the conditional closure proposal is provided in Rule 62-780.220 in the following manner:</w:t>
      </w:r>
    </w:p>
    <w:p w14:paraId="54A88F24" w14:textId="50D69AB7" w:rsidR="004703BA" w:rsidRPr="00892DA2" w:rsidRDefault="004703BA" w:rsidP="004A4735">
      <w:pPr>
        <w:pStyle w:val="ListParagraph"/>
        <w:numPr>
          <w:ilvl w:val="0"/>
          <w:numId w:val="26"/>
        </w:numPr>
        <w:ind w:left="720"/>
        <w:jc w:val="both"/>
        <w:rPr>
          <w:rFonts w:eastAsia="Arial" w:cs="Arial"/>
          <w:sz w:val="24"/>
          <w:szCs w:val="24"/>
        </w:rPr>
      </w:pPr>
      <w:r w:rsidRPr="00892DA2">
        <w:rPr>
          <w:rFonts w:eastAsia="Arial" w:cs="Arial"/>
          <w:sz w:val="24"/>
          <w:szCs w:val="24"/>
        </w:rPr>
        <w:t xml:space="preserve">Notice by regular mail - to local governments with jurisdiction over the property where the contaminated site is located, and to real property owners and resident or business tenants of property subject to the IC.  In lieu of mailing, where there are multiple residences, businesses or tenants on any property subject to the proposed IC, the PRSR may publish a Notice of Intent to Approve Use of Institutional Controls.  See </w:t>
      </w:r>
      <w:hyperlink r:id="rId12" w:history="1">
        <w:r w:rsidRPr="00F62AF7">
          <w:rPr>
            <w:rStyle w:val="Hyperlink"/>
            <w:rFonts w:eastAsia="Arial" w:cs="Arial"/>
            <w:sz w:val="24"/>
            <w:szCs w:val="24"/>
          </w:rPr>
          <w:t>Attachment 19</w:t>
        </w:r>
      </w:hyperlink>
      <w:r w:rsidR="00F62AF7">
        <w:rPr>
          <w:rFonts w:eastAsia="Arial" w:cs="Arial"/>
          <w:sz w:val="24"/>
          <w:szCs w:val="24"/>
        </w:rPr>
        <w:t xml:space="preserve">, </w:t>
      </w:r>
      <w:hyperlink r:id="rId13" w:history="1">
        <w:r w:rsidR="00F62AF7" w:rsidRPr="00F62AF7">
          <w:rPr>
            <w:rStyle w:val="Hyperlink"/>
            <w:rFonts w:eastAsia="Arial" w:cs="Arial"/>
            <w:sz w:val="24"/>
            <w:szCs w:val="24"/>
          </w:rPr>
          <w:t>Attachment 20</w:t>
        </w:r>
      </w:hyperlink>
      <w:r w:rsidR="00F62AF7">
        <w:rPr>
          <w:rFonts w:eastAsia="Arial" w:cs="Arial"/>
          <w:sz w:val="24"/>
          <w:szCs w:val="24"/>
        </w:rPr>
        <w:t xml:space="preserve">, </w:t>
      </w:r>
      <w:hyperlink r:id="rId14" w:history="1">
        <w:r w:rsidR="00F62AF7" w:rsidRPr="00F62AF7">
          <w:rPr>
            <w:rStyle w:val="Hyperlink"/>
            <w:rFonts w:eastAsia="Arial" w:cs="Arial"/>
            <w:sz w:val="24"/>
            <w:szCs w:val="24"/>
          </w:rPr>
          <w:t>Attachment 21</w:t>
        </w:r>
      </w:hyperlink>
      <w:r w:rsidR="00F62AF7">
        <w:rPr>
          <w:rFonts w:eastAsia="Arial" w:cs="Arial"/>
          <w:sz w:val="24"/>
          <w:szCs w:val="24"/>
        </w:rPr>
        <w:t xml:space="preserve">, </w:t>
      </w:r>
      <w:hyperlink r:id="rId15" w:history="1">
        <w:r w:rsidR="00F62AF7" w:rsidRPr="00F62AF7">
          <w:rPr>
            <w:rStyle w:val="Hyperlink"/>
            <w:rFonts w:eastAsia="Arial" w:cs="Arial"/>
            <w:sz w:val="24"/>
            <w:szCs w:val="24"/>
          </w:rPr>
          <w:t>Attachment 22</w:t>
        </w:r>
      </w:hyperlink>
      <w:r w:rsidR="00F62AF7">
        <w:rPr>
          <w:rFonts w:eastAsia="Arial" w:cs="Arial"/>
          <w:sz w:val="24"/>
          <w:szCs w:val="24"/>
        </w:rPr>
        <w:t xml:space="preserve">, and </w:t>
      </w:r>
      <w:hyperlink r:id="rId16" w:history="1">
        <w:r w:rsidR="00F62AF7" w:rsidRPr="00F62AF7">
          <w:rPr>
            <w:rStyle w:val="Hyperlink"/>
            <w:rFonts w:eastAsia="Arial" w:cs="Arial"/>
            <w:sz w:val="24"/>
            <w:szCs w:val="24"/>
          </w:rPr>
          <w:t xml:space="preserve">Attachment </w:t>
        </w:r>
        <w:r w:rsidRPr="00F62AF7">
          <w:rPr>
            <w:rStyle w:val="Hyperlink"/>
            <w:rFonts w:eastAsia="Arial" w:cs="Arial"/>
            <w:sz w:val="24"/>
            <w:szCs w:val="24"/>
          </w:rPr>
          <w:t>23</w:t>
        </w:r>
      </w:hyperlink>
      <w:r w:rsidR="00F62AF7">
        <w:rPr>
          <w:rFonts w:eastAsia="Arial" w:cs="Arial"/>
          <w:sz w:val="24"/>
          <w:szCs w:val="24"/>
        </w:rPr>
        <w:t>;</w:t>
      </w:r>
      <w:r w:rsidRPr="00892DA2">
        <w:rPr>
          <w:rFonts w:eastAsia="Arial" w:cs="Arial"/>
          <w:sz w:val="24"/>
          <w:szCs w:val="24"/>
        </w:rPr>
        <w:t xml:space="preserve"> and</w:t>
      </w:r>
    </w:p>
    <w:p w14:paraId="618841BA" w14:textId="53FA4DC9" w:rsidR="004703BA" w:rsidRPr="00892DA2" w:rsidRDefault="004703BA" w:rsidP="00DB7C0F">
      <w:pPr>
        <w:pStyle w:val="ListParagraph"/>
        <w:numPr>
          <w:ilvl w:val="0"/>
          <w:numId w:val="26"/>
        </w:numPr>
        <w:spacing w:after="240"/>
        <w:ind w:left="720"/>
        <w:jc w:val="both"/>
        <w:rPr>
          <w:rFonts w:eastAsia="Arial" w:cs="Arial"/>
          <w:sz w:val="24"/>
          <w:szCs w:val="24"/>
        </w:rPr>
      </w:pPr>
      <w:r w:rsidRPr="00892DA2">
        <w:rPr>
          <w:rFonts w:eastAsia="Arial" w:cs="Arial"/>
          <w:sz w:val="24"/>
          <w:szCs w:val="24"/>
        </w:rPr>
        <w:t xml:space="preserve">Encumbrance Notice - to existing mortgage holders, holders of recorded leases and easement or other encumbrance holders identified in the Title Report, by notice made by the owner to the interest holder if the IC limitations or restrictions could impact ("materially conflict with") the encumbrance holder's interest.  See above discussion under the Title Section and </w:t>
      </w:r>
      <w:hyperlink r:id="rId17" w:history="1">
        <w:r w:rsidRPr="00F62AF7">
          <w:rPr>
            <w:rStyle w:val="Hyperlink"/>
            <w:rFonts w:eastAsia="Arial" w:cs="Arial"/>
            <w:sz w:val="24"/>
            <w:szCs w:val="24"/>
          </w:rPr>
          <w:t>Attachment 9</w:t>
        </w:r>
      </w:hyperlink>
      <w:r w:rsidRPr="00892DA2">
        <w:rPr>
          <w:rFonts w:eastAsia="Arial" w:cs="Arial"/>
          <w:sz w:val="24"/>
          <w:szCs w:val="24"/>
        </w:rPr>
        <w:t xml:space="preserve">, and particularly </w:t>
      </w:r>
      <w:r w:rsidRPr="00892DA2">
        <w:rPr>
          <w:rFonts w:eastAsia="Arial" w:cs="Arial"/>
          <w:color w:val="000000" w:themeColor="text1"/>
          <w:sz w:val="24"/>
          <w:szCs w:val="24"/>
        </w:rPr>
        <w:t>under "Owner's Notice to Existing Encumbrance Holders"</w:t>
      </w:r>
      <w:r w:rsidRPr="00892DA2">
        <w:rPr>
          <w:rFonts w:eastAsia="Arial" w:cs="Arial"/>
          <w:sz w:val="24"/>
          <w:szCs w:val="24"/>
        </w:rPr>
        <w:t>.</w:t>
      </w:r>
    </w:p>
    <w:p w14:paraId="056CE7FA" w14:textId="4486FE5F" w:rsidR="004703BA" w:rsidRDefault="004703BA" w:rsidP="00DB7C0F">
      <w:pPr>
        <w:spacing w:after="240"/>
        <w:jc w:val="both"/>
        <w:rPr>
          <w:rFonts w:cs="Arial"/>
          <w:sz w:val="24"/>
          <w:szCs w:val="24"/>
        </w:rPr>
      </w:pPr>
      <w:r w:rsidRPr="00892DA2">
        <w:rPr>
          <w:rStyle w:val="DeltaViewInsertion"/>
          <w:color w:val="auto"/>
          <w:sz w:val="24"/>
          <w:szCs w:val="24"/>
          <w:u w:val="none"/>
        </w:rPr>
        <w:t xml:space="preserve">Under Chapter 62-780, F.A.C., notice is to be given within 30 days of FDEP’s approval of the recommendation for conditional closure. </w:t>
      </w:r>
      <w:r w:rsidRPr="16632D18">
        <w:rPr>
          <w:rFonts w:eastAsia="Arial" w:cs="Arial"/>
          <w:sz w:val="24"/>
          <w:szCs w:val="24"/>
        </w:rPr>
        <w:t xml:space="preserve">Site/project managers should bring this notice requirement to the owners’ attention early in the process because owners are often anxious to obtain the conditional SRCO due to pending real estate transactions or bank financing, and they may be frustrated to learn they have to give this notice and wait another 30 days for comments </w:t>
      </w:r>
      <w:r w:rsidRPr="00892DA2">
        <w:rPr>
          <w:rStyle w:val="DeltaViewInsertion"/>
          <w:color w:val="000000" w:themeColor="text1"/>
          <w:sz w:val="24"/>
          <w:szCs w:val="24"/>
          <w:u w:val="none"/>
        </w:rPr>
        <w:t>if notice was not already given</w:t>
      </w:r>
      <w:r w:rsidRPr="16632D18">
        <w:rPr>
          <w:rFonts w:eastAsia="Arial" w:cs="Arial"/>
          <w:sz w:val="24"/>
          <w:szCs w:val="24"/>
        </w:rPr>
        <w:t>.</w:t>
      </w:r>
    </w:p>
    <w:p w14:paraId="721DE4D2" w14:textId="09D96100" w:rsidR="004703BA" w:rsidRDefault="004703BA" w:rsidP="00DB7C0F">
      <w:pPr>
        <w:spacing w:after="240"/>
        <w:jc w:val="both"/>
        <w:rPr>
          <w:rFonts w:cs="Arial"/>
          <w:sz w:val="24"/>
          <w:szCs w:val="24"/>
        </w:rPr>
      </w:pPr>
      <w:r w:rsidRPr="16632D18">
        <w:rPr>
          <w:rFonts w:eastAsia="Arial" w:cs="Arial"/>
          <w:sz w:val="24"/>
          <w:szCs w:val="24"/>
        </w:rPr>
        <w:t>The site/project manager shall send a copy of the FDEP’s conditional closure approval to any party who provides comments to the FDEP or requests a copy.</w:t>
      </w:r>
    </w:p>
    <w:p w14:paraId="3EBE546D" w14:textId="1661AA0B" w:rsidR="009A7586" w:rsidRDefault="004703BA" w:rsidP="00DB7C0F">
      <w:pPr>
        <w:spacing w:after="240"/>
        <w:jc w:val="both"/>
        <w:rPr>
          <w:rFonts w:cs="Arial"/>
          <w:sz w:val="24"/>
          <w:szCs w:val="24"/>
        </w:rPr>
      </w:pPr>
      <w:r w:rsidRPr="16632D18">
        <w:rPr>
          <w:rFonts w:eastAsia="Arial" w:cs="Arial"/>
          <w:sz w:val="24"/>
          <w:szCs w:val="24"/>
        </w:rPr>
        <w:t xml:space="preserve">While not required by Chapter 62-780, F.A.C., owners cleaning up large-scale, high-interest sites may want to consider inviting the public to public forums to become involved while environmental conditions and risks are being assessed and while plans are being developed.  For cleanups managed with EPA as the lead, such public forums may even be </w:t>
      </w:r>
      <w:r w:rsidRPr="16632D18">
        <w:rPr>
          <w:rFonts w:eastAsia="Arial" w:cs="Arial"/>
          <w:color w:val="000000" w:themeColor="text1"/>
          <w:sz w:val="24"/>
          <w:szCs w:val="24"/>
        </w:rPr>
        <w:t>required (see the appropriate EPA rules for more information).</w:t>
      </w:r>
      <w:r w:rsidRPr="16632D18">
        <w:rPr>
          <w:rFonts w:eastAsia="Arial" w:cs="Arial"/>
          <w:sz w:val="24"/>
          <w:szCs w:val="24"/>
        </w:rPr>
        <w:t xml:space="preserve"> If public involvement in the development of controls is requested, owners should focus on whether the restrictions, engineering controls, and land use controls have been drafted to adequately explain what the prohibited and permitted uses of the site will be, and whether there are any continuing obligations and conditions required of the property owner and tenants/lessees.  Public comment should be accepted in this process and, if warranted, additional meetings and notices can be scheduled.</w:t>
      </w:r>
      <w:bookmarkStart w:id="3" w:name="_DV_M227"/>
      <w:bookmarkStart w:id="4" w:name="_DV_M228"/>
      <w:bookmarkStart w:id="5" w:name="_DV_M229"/>
      <w:bookmarkStart w:id="6" w:name="_DV_M230"/>
      <w:bookmarkEnd w:id="3"/>
      <w:bookmarkEnd w:id="4"/>
      <w:bookmarkEnd w:id="5"/>
      <w:bookmarkEnd w:id="6"/>
    </w:p>
    <w:sectPr w:rsidR="009A7586" w:rsidSect="00DB7C0F">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73F904B6" w:rsidR="007B031E" w:rsidRPr="002F70B0" w:rsidRDefault="007B031E" w:rsidP="00DB7C0F">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DB7C0F">
      <w:rPr>
        <w:noProof/>
        <w:sz w:val="18"/>
        <w:szCs w:val="18"/>
      </w:rPr>
      <w:t>Sec BB</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E92A39">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E92A39">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DB7C0F">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2B3F"/>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1D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1DD1"/>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B64B6"/>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B7C0F"/>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2A39"/>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5A78"/>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20-template-constructive-notice-intent-approve-use-interi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19-template-constructive-notice-intent-approve-use-institutional" TargetMode="External"/><Relationship Id="rId17" Type="http://schemas.openxmlformats.org/officeDocument/2006/relationships/hyperlink" Target="https://floridadep.gov/waste/waste/documents/attachment-9-actual-notice-intent-approve-use-institutional-control-easement" TargetMode="External"/><Relationship Id="rId2" Type="http://schemas.openxmlformats.org/officeDocument/2006/relationships/customXml" Target="../customXml/item2.xml"/><Relationship Id="rId16" Type="http://schemas.openxmlformats.org/officeDocument/2006/relationships/hyperlink" Target="https://floridadep.gov/waste/waste/documents/attachment-23-statute-governing-form-affidavit-proof-publ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attachment-22-statutes-regarding-notice-publi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attachment-21-florida-administrative-code-rules-regard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NPVFY6KNS3ZM-64548901-103</_dlc_DocId>
    <_dlc_DocIdUrl xmlns="ed83551b-1c74-4eb0-a689-e3b00317a30f">
      <Url>https://floridadep.sharepoint.com/dwm/dbs/_layouts/15/DocIdRedir.aspx?ID=NPVFY6KNS3ZM-64548901-103</Url>
      <Description>NPVFY6KNS3ZM-64548901-103</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BB</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E281A09A-7DA9-4642-9196-1EDF0878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5B0900BE-E2B2-46D0-99D2-F8388152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443</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2018-11-19T13:28:00Z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7b7545ab-d335-4182-bfb0-bfc3aa095fdd</vt:lpwstr>
  </property>
  <property fmtid="{D5CDD505-2E9C-101B-9397-08002B2CF9AE}" pid="4" name="Att#">
    <vt:r8>100</vt:r8>
  </property>
  <property fmtid="{D5CDD505-2E9C-101B-9397-08002B2CF9AE}" pid="5" name="_Revision">
    <vt:filetime>2017-03-01T05:00:00Z</vt:filetime>
  </property>
</Properties>
</file>