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2CA9" w14:textId="48CABEF1" w:rsidR="004703BA" w:rsidRPr="00582F7A" w:rsidRDefault="006269B4" w:rsidP="00582F7A">
      <w:pPr>
        <w:pStyle w:val="Heading2"/>
        <w:spacing w:after="600"/>
        <w:rPr>
          <w:b w:val="0"/>
          <w:caps/>
          <w:sz w:val="24"/>
          <w:szCs w:val="24"/>
        </w:rPr>
      </w:pPr>
      <w:bookmarkStart w:id="0" w:name="_Toc506977029"/>
      <w:r w:rsidRPr="00E21623">
        <w:rPr>
          <w:sz w:val="24"/>
          <w:szCs w:val="24"/>
        </w:rPr>
        <w:t xml:space="preserve">Section </w:t>
      </w:r>
      <w:r w:rsidR="484AB0E1" w:rsidRPr="00E21623">
        <w:rPr>
          <w:sz w:val="24"/>
          <w:szCs w:val="24"/>
        </w:rPr>
        <w:t>C.13</w:t>
      </w:r>
      <w:r w:rsidRPr="00E21623">
        <w:rPr>
          <w:sz w:val="24"/>
          <w:szCs w:val="24"/>
        </w:rPr>
        <w:t>:</w:t>
      </w:r>
      <w:r w:rsidRPr="006269B4">
        <w:rPr>
          <w:sz w:val="24"/>
        </w:rPr>
        <w:tab/>
      </w:r>
      <w:r w:rsidR="004703BA" w:rsidRPr="00E21623">
        <w:rPr>
          <w:sz w:val="24"/>
          <w:szCs w:val="24"/>
        </w:rPr>
        <w:t>Map of Encumbrances and Restricted Area, and List of Encumbrances</w:t>
      </w:r>
      <w:bookmarkEnd w:id="0"/>
    </w:p>
    <w:p w14:paraId="4482576A" w14:textId="4DF5B268" w:rsidR="00F90D82" w:rsidRDefault="004703BA" w:rsidP="006269B4">
      <w:pPr>
        <w:pStyle w:val="ListParagraph"/>
        <w:spacing w:after="240"/>
        <w:ind w:left="0"/>
        <w:jc w:val="both"/>
        <w:rPr>
          <w:rFonts w:eastAsia="Arial" w:cs="Arial"/>
          <w:sz w:val="24"/>
          <w:szCs w:val="24"/>
        </w:rPr>
      </w:pPr>
      <w:r w:rsidRPr="16632D18">
        <w:rPr>
          <w:rFonts w:eastAsia="Arial" w:cs="Arial"/>
          <w:sz w:val="24"/>
          <w:szCs w:val="24"/>
        </w:rPr>
        <w:t>The property owner should provide a list of recorded encumbrances, in addition to copies of th</w:t>
      </w:r>
      <w:r w:rsidR="00F0041F">
        <w:rPr>
          <w:rFonts w:eastAsia="Arial" w:cs="Arial"/>
          <w:sz w:val="24"/>
          <w:szCs w:val="24"/>
        </w:rPr>
        <w:t>ose</w:t>
      </w:r>
      <w:r w:rsidRPr="16632D18">
        <w:rPr>
          <w:rFonts w:eastAsia="Arial" w:cs="Arial"/>
          <w:sz w:val="24"/>
          <w:szCs w:val="24"/>
        </w:rPr>
        <w:t xml:space="preserve"> recorded encumbrances, for the reviewing FDEP lawyer. The list </w:t>
      </w:r>
      <w:r w:rsidRPr="00FD7A2F">
        <w:rPr>
          <w:rFonts w:eastAsia="Arial" w:cs="Arial"/>
          <w:sz w:val="24"/>
          <w:szCs w:val="24"/>
        </w:rPr>
        <w:t xml:space="preserve">of encumbrances should identify the right(s) the encumbrance grants to the holder and whether each encumbrance intersects </w:t>
      </w:r>
      <w:proofErr w:type="gramStart"/>
      <w:r w:rsidRPr="00FD7A2F">
        <w:rPr>
          <w:rFonts w:eastAsia="Arial" w:cs="Arial"/>
          <w:sz w:val="24"/>
          <w:szCs w:val="24"/>
        </w:rPr>
        <w:t xml:space="preserve">with </w:t>
      </w:r>
      <w:r w:rsidR="00743058">
        <w:rPr>
          <w:rFonts w:eastAsia="Arial" w:cs="Arial"/>
          <w:sz w:val="24"/>
          <w:szCs w:val="24"/>
        </w:rPr>
        <w:t>and</w:t>
      </w:r>
      <w:proofErr w:type="gramEnd"/>
      <w:r w:rsidR="00743058">
        <w:rPr>
          <w:rFonts w:eastAsia="Arial" w:cs="Arial"/>
          <w:sz w:val="24"/>
          <w:szCs w:val="24"/>
        </w:rPr>
        <w:t xml:space="preserve"> conflicts with </w:t>
      </w:r>
      <w:r w:rsidRPr="00FD7A2F">
        <w:rPr>
          <w:rFonts w:eastAsia="Arial" w:cs="Arial"/>
          <w:sz w:val="24"/>
          <w:szCs w:val="24"/>
        </w:rPr>
        <w:t xml:space="preserve">the restriction. </w:t>
      </w:r>
    </w:p>
    <w:p w14:paraId="1F484F01" w14:textId="33A90CB1" w:rsidR="00F0041F" w:rsidRDefault="004703BA" w:rsidP="006269B4">
      <w:pPr>
        <w:pStyle w:val="ListParagraph"/>
        <w:spacing w:after="240"/>
        <w:ind w:left="0"/>
        <w:jc w:val="both"/>
        <w:rPr>
          <w:rFonts w:eastAsia="Arial" w:cs="Arial"/>
          <w:sz w:val="24"/>
          <w:szCs w:val="24"/>
        </w:rPr>
      </w:pPr>
      <w:r w:rsidRPr="00FD7A2F">
        <w:rPr>
          <w:rFonts w:eastAsia="Arial" w:cs="Arial"/>
          <w:sz w:val="24"/>
          <w:szCs w:val="24"/>
        </w:rPr>
        <w:t xml:space="preserve">If the restriction could affect, or be affected by, the encumbrance holder’s </w:t>
      </w:r>
      <w:r w:rsidRPr="00FD7A2F">
        <w:rPr>
          <w:rFonts w:eastAsia="Arial" w:cs="Arial"/>
          <w:color w:val="000000" w:themeColor="text1"/>
          <w:sz w:val="24"/>
          <w:szCs w:val="24"/>
        </w:rPr>
        <w:t xml:space="preserve">rights in such a way as to constitute a conflict </w:t>
      </w:r>
      <w:r w:rsidR="00F0041F">
        <w:rPr>
          <w:rFonts w:eastAsia="Arial" w:cs="Arial"/>
          <w:color w:val="000000" w:themeColor="text1"/>
          <w:sz w:val="24"/>
          <w:szCs w:val="24"/>
        </w:rPr>
        <w:t xml:space="preserve">with a proposed IC </w:t>
      </w:r>
      <w:r w:rsidRPr="00FD7A2F">
        <w:rPr>
          <w:rFonts w:eastAsia="Arial" w:cs="Arial"/>
          <w:color w:val="000000" w:themeColor="text1"/>
          <w:sz w:val="24"/>
          <w:szCs w:val="24"/>
        </w:rPr>
        <w:t xml:space="preserve">(as described </w:t>
      </w:r>
      <w:r w:rsidR="00E21623">
        <w:rPr>
          <w:rFonts w:eastAsia="Arial" w:cs="Arial"/>
          <w:color w:val="000000" w:themeColor="text1"/>
          <w:sz w:val="24"/>
          <w:szCs w:val="24"/>
        </w:rPr>
        <w:t>in</w:t>
      </w:r>
      <w:r w:rsidRPr="00FD7A2F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E21623">
        <w:rPr>
          <w:rFonts w:eastAsia="Arial" w:cs="Arial"/>
          <w:color w:val="000000" w:themeColor="text1"/>
          <w:sz w:val="24"/>
          <w:szCs w:val="24"/>
        </w:rPr>
        <w:t xml:space="preserve">the </w:t>
      </w:r>
      <w:r w:rsidRPr="00FD7A2F">
        <w:rPr>
          <w:rFonts w:eastAsia="Arial" w:cs="Arial"/>
          <w:color w:val="000000" w:themeColor="text1"/>
          <w:sz w:val="24"/>
          <w:szCs w:val="24"/>
        </w:rPr>
        <w:t>"Owner's Notice to Existing Encumbrance Holders"</w:t>
      </w:r>
      <w:r w:rsidR="00E21623">
        <w:rPr>
          <w:rFonts w:eastAsia="Arial" w:cs="Arial"/>
          <w:color w:val="000000" w:themeColor="text1"/>
          <w:sz w:val="24"/>
          <w:szCs w:val="24"/>
        </w:rPr>
        <w:t xml:space="preserve"> section</w:t>
      </w:r>
      <w:r w:rsidR="00F0041F">
        <w:rPr>
          <w:rFonts w:eastAsia="Arial" w:cs="Arial"/>
          <w:color w:val="000000" w:themeColor="text1"/>
          <w:sz w:val="24"/>
          <w:szCs w:val="24"/>
        </w:rPr>
        <w:t xml:space="preserve"> of the ICPG</w:t>
      </w:r>
      <w:r w:rsidRPr="00FD7A2F">
        <w:rPr>
          <w:rFonts w:eastAsia="Arial" w:cs="Arial"/>
          <w:color w:val="000000" w:themeColor="text1"/>
          <w:sz w:val="24"/>
          <w:szCs w:val="24"/>
        </w:rPr>
        <w:t>)</w:t>
      </w:r>
      <w:r w:rsidRPr="00FD7A2F">
        <w:rPr>
          <w:rFonts w:eastAsia="Arial" w:cs="Arial"/>
          <w:sz w:val="24"/>
          <w:szCs w:val="24"/>
        </w:rPr>
        <w:t xml:space="preserve">, then the owner should </w:t>
      </w:r>
      <w:r w:rsidR="00F0041F">
        <w:rPr>
          <w:rFonts w:eastAsia="Arial" w:cs="Arial"/>
          <w:sz w:val="24"/>
          <w:szCs w:val="24"/>
        </w:rPr>
        <w:t xml:space="preserve">provide mailed notice </w:t>
      </w:r>
      <w:r w:rsidR="00F90D82">
        <w:rPr>
          <w:rFonts w:eastAsia="Arial" w:cs="Arial"/>
          <w:sz w:val="24"/>
          <w:szCs w:val="24"/>
        </w:rPr>
        <w:t xml:space="preserve">(or published notice in certain limited circumstances) </w:t>
      </w:r>
      <w:r w:rsidR="00F0041F">
        <w:rPr>
          <w:rFonts w:eastAsia="Arial" w:cs="Arial"/>
          <w:sz w:val="24"/>
          <w:szCs w:val="24"/>
        </w:rPr>
        <w:t>as outlined in subsection 62-780.220(7)</w:t>
      </w:r>
      <w:r w:rsidR="00F90D82">
        <w:rPr>
          <w:rFonts w:eastAsia="Arial" w:cs="Arial"/>
          <w:sz w:val="24"/>
          <w:szCs w:val="24"/>
        </w:rPr>
        <w:t xml:space="preserve">, F.A.C.  See </w:t>
      </w:r>
      <w:hyperlink r:id="rId12" w:history="1">
        <w:r w:rsidR="00F90D82" w:rsidRPr="00027F83">
          <w:rPr>
            <w:rStyle w:val="Hyperlink"/>
            <w:rFonts w:eastAsia="Arial" w:cs="Arial"/>
            <w:sz w:val="24"/>
            <w:szCs w:val="24"/>
          </w:rPr>
          <w:t>Attachment 9</w:t>
        </w:r>
      </w:hyperlink>
      <w:r w:rsidR="00F90D82" w:rsidRPr="00FD7A2F">
        <w:rPr>
          <w:rFonts w:eastAsia="Arial" w:cs="Arial"/>
          <w:sz w:val="24"/>
          <w:szCs w:val="24"/>
        </w:rPr>
        <w:t>,</w:t>
      </w:r>
      <w:r w:rsidR="00F90D82">
        <w:rPr>
          <w:rFonts w:eastAsia="Arial" w:cs="Arial"/>
          <w:sz w:val="24"/>
          <w:szCs w:val="24"/>
        </w:rPr>
        <w:t xml:space="preserve"> Mailed Notice of Intent to Approve, for sample letters.</w:t>
      </w:r>
    </w:p>
    <w:p w14:paraId="2541499B" w14:textId="3271856D" w:rsidR="004703BA" w:rsidRPr="00FD7A2F" w:rsidRDefault="00F90D82" w:rsidP="006269B4">
      <w:pPr>
        <w:pStyle w:val="ListParagraph"/>
        <w:spacing w:after="240"/>
        <w:ind w:left="0"/>
        <w:jc w:val="both"/>
        <w:rPr>
          <w:rFonts w:eastAsia="Arial" w:cs="Arial"/>
          <w:caps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In addition to sending mailed notice letters to encumbrance holders with conflicts, it may be necessary </w:t>
      </w:r>
      <w:r w:rsidR="00743058">
        <w:rPr>
          <w:rFonts w:eastAsia="Arial" w:cs="Arial"/>
          <w:sz w:val="24"/>
          <w:szCs w:val="24"/>
        </w:rPr>
        <w:t xml:space="preserve">for property owners </w:t>
      </w:r>
      <w:r>
        <w:rPr>
          <w:rFonts w:eastAsia="Arial" w:cs="Arial"/>
          <w:sz w:val="24"/>
          <w:szCs w:val="24"/>
        </w:rPr>
        <w:t xml:space="preserve">to </w:t>
      </w:r>
      <w:r w:rsidR="004703BA" w:rsidRPr="00FD7A2F">
        <w:rPr>
          <w:rFonts w:eastAsia="Arial" w:cs="Arial"/>
          <w:sz w:val="24"/>
          <w:szCs w:val="24"/>
        </w:rPr>
        <w:t>acquire subordination</w:t>
      </w:r>
      <w:r w:rsidR="00743058">
        <w:rPr>
          <w:rFonts w:eastAsia="Arial" w:cs="Arial"/>
          <w:sz w:val="24"/>
          <w:szCs w:val="24"/>
        </w:rPr>
        <w:t>s</w:t>
      </w:r>
      <w:r w:rsidR="004703BA" w:rsidRPr="00FD7A2F">
        <w:rPr>
          <w:rFonts w:eastAsia="Arial" w:cs="Arial"/>
          <w:sz w:val="24"/>
          <w:szCs w:val="24"/>
        </w:rPr>
        <w:t xml:space="preserve"> of encumbrance (for mortgages and easements) or joinder</w:t>
      </w:r>
      <w:r w:rsidR="00743058">
        <w:rPr>
          <w:rFonts w:eastAsia="Arial" w:cs="Arial"/>
          <w:sz w:val="24"/>
          <w:szCs w:val="24"/>
        </w:rPr>
        <w:t>s</w:t>
      </w:r>
      <w:r w:rsidR="004703BA" w:rsidRPr="00FD7A2F">
        <w:rPr>
          <w:rFonts w:eastAsia="Arial" w:cs="Arial"/>
          <w:sz w:val="24"/>
          <w:szCs w:val="24"/>
        </w:rPr>
        <w:t xml:space="preserve"> and consent</w:t>
      </w:r>
      <w:r w:rsidR="00743058">
        <w:rPr>
          <w:rFonts w:eastAsia="Arial" w:cs="Arial"/>
          <w:sz w:val="24"/>
          <w:szCs w:val="24"/>
        </w:rPr>
        <w:t>s</w:t>
      </w:r>
      <w:r w:rsidR="004703BA" w:rsidRPr="00FD7A2F">
        <w:rPr>
          <w:rFonts w:eastAsia="Arial" w:cs="Arial"/>
          <w:sz w:val="24"/>
          <w:szCs w:val="24"/>
        </w:rPr>
        <w:t xml:space="preserve"> (</w:t>
      </w:r>
      <w:r w:rsidR="00743058">
        <w:rPr>
          <w:rFonts w:eastAsia="Arial" w:cs="Arial"/>
          <w:sz w:val="24"/>
          <w:szCs w:val="24"/>
        </w:rPr>
        <w:t xml:space="preserve">for </w:t>
      </w:r>
      <w:r w:rsidR="004703BA" w:rsidRPr="00FD7A2F">
        <w:rPr>
          <w:rFonts w:eastAsia="Arial" w:cs="Arial"/>
          <w:sz w:val="24"/>
          <w:szCs w:val="24"/>
        </w:rPr>
        <w:t>easements only)</w:t>
      </w:r>
      <w:r>
        <w:rPr>
          <w:rFonts w:eastAsia="Arial" w:cs="Arial"/>
          <w:sz w:val="24"/>
          <w:szCs w:val="24"/>
        </w:rPr>
        <w:t xml:space="preserve">.  Property owners should carefully read </w:t>
      </w:r>
      <w:r w:rsidR="00743058">
        <w:rPr>
          <w:rFonts w:eastAsia="Arial" w:cs="Arial"/>
          <w:color w:val="000000" w:themeColor="text1"/>
          <w:sz w:val="24"/>
          <w:szCs w:val="24"/>
        </w:rPr>
        <w:t xml:space="preserve">the </w:t>
      </w:r>
      <w:r w:rsidR="00743058" w:rsidRPr="00FD7A2F">
        <w:rPr>
          <w:rFonts w:eastAsia="Arial" w:cs="Arial"/>
          <w:color w:val="000000" w:themeColor="text1"/>
          <w:sz w:val="24"/>
          <w:szCs w:val="24"/>
        </w:rPr>
        <w:t>"Owner's Notice to Existing Encumbrance Holders"</w:t>
      </w:r>
      <w:r w:rsidR="00743058">
        <w:rPr>
          <w:rFonts w:eastAsia="Arial" w:cs="Arial"/>
          <w:color w:val="000000" w:themeColor="text1"/>
          <w:sz w:val="24"/>
          <w:szCs w:val="24"/>
        </w:rPr>
        <w:t xml:space="preserve"> section of the ICPG to determine whether subordinations or joinders and consents will be necessary in addition to providing mailed notice letters.</w:t>
      </w:r>
      <w:r w:rsidR="004703BA" w:rsidRPr="00FD7A2F">
        <w:rPr>
          <w:rFonts w:eastAsia="Arial" w:cs="Arial"/>
          <w:sz w:val="24"/>
          <w:szCs w:val="24"/>
        </w:rPr>
        <w:t xml:space="preserve">  See </w:t>
      </w:r>
      <w:hyperlink r:id="rId13" w:history="1">
        <w:r w:rsidR="00B13F52" w:rsidRPr="00684C87">
          <w:rPr>
            <w:rStyle w:val="Hyperlink"/>
            <w:rFonts w:eastAsia="Arial" w:cs="Arial"/>
            <w:sz w:val="24"/>
            <w:szCs w:val="24"/>
          </w:rPr>
          <w:t>Attachment 10,</w:t>
        </w:r>
      </w:hyperlink>
      <w:r w:rsidR="00B13F52">
        <w:rPr>
          <w:rFonts w:eastAsia="Arial" w:cs="Arial"/>
          <w:sz w:val="24"/>
          <w:szCs w:val="24"/>
        </w:rPr>
        <w:t xml:space="preserve"> Sample Subordination of Mortgage, </w:t>
      </w:r>
      <w:hyperlink r:id="rId14" w:history="1">
        <w:r w:rsidR="004703BA" w:rsidRPr="00DF1B6E">
          <w:rPr>
            <w:rStyle w:val="Hyperlink"/>
            <w:rFonts w:eastAsia="Arial" w:cs="Arial"/>
            <w:sz w:val="24"/>
            <w:szCs w:val="24"/>
          </w:rPr>
          <w:t>Attachment 12</w:t>
        </w:r>
      </w:hyperlink>
      <w:r w:rsidR="004703BA" w:rsidRPr="00FD7A2F">
        <w:rPr>
          <w:rFonts w:eastAsia="Arial" w:cs="Arial"/>
          <w:sz w:val="24"/>
          <w:szCs w:val="24"/>
        </w:rPr>
        <w:t xml:space="preserve">, Sample Subordination of Encumbrance, </w:t>
      </w:r>
      <w:hyperlink r:id="rId15" w:history="1">
        <w:r w:rsidR="00B13F52" w:rsidRPr="00684C87">
          <w:rPr>
            <w:rStyle w:val="Hyperlink"/>
            <w:rFonts w:eastAsia="Arial" w:cs="Arial"/>
            <w:sz w:val="24"/>
            <w:szCs w:val="24"/>
          </w:rPr>
          <w:t>Attachment 11</w:t>
        </w:r>
      </w:hyperlink>
      <w:r w:rsidR="00B13F52">
        <w:rPr>
          <w:rFonts w:eastAsia="Arial" w:cs="Arial"/>
          <w:sz w:val="24"/>
          <w:szCs w:val="24"/>
        </w:rPr>
        <w:t>, Sample Joinder and Consent for Tenants and Lessees,</w:t>
      </w:r>
      <w:r w:rsidR="00011F6C">
        <w:rPr>
          <w:rFonts w:eastAsia="Arial" w:cs="Arial"/>
          <w:sz w:val="24"/>
          <w:szCs w:val="24"/>
        </w:rPr>
        <w:t xml:space="preserve"> and</w:t>
      </w:r>
      <w:r w:rsidR="00B13F52">
        <w:rPr>
          <w:rFonts w:eastAsia="Arial" w:cs="Arial"/>
          <w:sz w:val="24"/>
          <w:szCs w:val="24"/>
        </w:rPr>
        <w:t xml:space="preserve"> </w:t>
      </w:r>
      <w:hyperlink r:id="rId16" w:history="1">
        <w:r w:rsidR="00E21623" w:rsidRPr="00684C87">
          <w:rPr>
            <w:rStyle w:val="Hyperlink"/>
            <w:rFonts w:eastAsia="Arial" w:cs="Arial"/>
            <w:sz w:val="24"/>
            <w:szCs w:val="24"/>
          </w:rPr>
          <w:t>Attachment 13,</w:t>
        </w:r>
      </w:hyperlink>
      <w:r w:rsidR="00E21623">
        <w:rPr>
          <w:rFonts w:eastAsia="Arial" w:cs="Arial"/>
          <w:sz w:val="24"/>
          <w:szCs w:val="24"/>
        </w:rPr>
        <w:t xml:space="preserve"> </w:t>
      </w:r>
      <w:r w:rsidR="004703BA" w:rsidRPr="00FD7A2F">
        <w:rPr>
          <w:rFonts w:eastAsia="Arial" w:cs="Arial"/>
          <w:sz w:val="24"/>
          <w:szCs w:val="24"/>
        </w:rPr>
        <w:t xml:space="preserve">Sample Joinder and Consent </w:t>
      </w:r>
      <w:r w:rsidR="00743058">
        <w:rPr>
          <w:rFonts w:eastAsia="Arial" w:cs="Arial"/>
          <w:sz w:val="24"/>
          <w:szCs w:val="24"/>
        </w:rPr>
        <w:t>for</w:t>
      </w:r>
      <w:r w:rsidR="00743058" w:rsidRPr="00FD7A2F">
        <w:rPr>
          <w:rFonts w:eastAsia="Arial" w:cs="Arial"/>
          <w:sz w:val="24"/>
          <w:szCs w:val="24"/>
        </w:rPr>
        <w:t xml:space="preserve"> </w:t>
      </w:r>
      <w:r w:rsidR="004703BA" w:rsidRPr="00FD7A2F">
        <w:rPr>
          <w:rFonts w:eastAsia="Arial" w:cs="Arial"/>
          <w:sz w:val="24"/>
          <w:szCs w:val="24"/>
        </w:rPr>
        <w:t>Encumbrance</w:t>
      </w:r>
      <w:r w:rsidR="00743058">
        <w:rPr>
          <w:rFonts w:eastAsia="Arial" w:cs="Arial"/>
          <w:sz w:val="24"/>
          <w:szCs w:val="24"/>
        </w:rPr>
        <w:t>s.</w:t>
      </w:r>
    </w:p>
    <w:p w14:paraId="3EBE546D" w14:textId="6DFD2A16" w:rsidR="009A7586" w:rsidRDefault="004703BA" w:rsidP="006269B4">
      <w:pPr>
        <w:pStyle w:val="BodyTextCenter"/>
        <w:jc w:val="left"/>
      </w:pPr>
      <w:r w:rsidRPr="16632D18">
        <w:rPr>
          <w:rFonts w:eastAsia="Arial"/>
          <w:sz w:val="24"/>
          <w:szCs w:val="24"/>
        </w:rPr>
        <w:t xml:space="preserve">If only a portion of the property is restricted, a labeled map, diagram, or </w:t>
      </w:r>
      <w:r w:rsidR="00011F6C">
        <w:rPr>
          <w:rFonts w:eastAsia="Arial"/>
          <w:sz w:val="24"/>
          <w:szCs w:val="24"/>
        </w:rPr>
        <w:t>s</w:t>
      </w:r>
      <w:r w:rsidRPr="16632D18">
        <w:rPr>
          <w:rFonts w:eastAsia="Arial"/>
          <w:sz w:val="24"/>
          <w:szCs w:val="24"/>
        </w:rPr>
        <w:t>urvey showing the locations of all encumbrances in relation to the restricted area should be provided</w:t>
      </w:r>
      <w:proofErr w:type="gramStart"/>
      <w:r w:rsidRPr="16632D18">
        <w:rPr>
          <w:rFonts w:eastAsia="Arial"/>
          <w:sz w:val="24"/>
          <w:szCs w:val="24"/>
        </w:rPr>
        <w:t xml:space="preserve">.  </w:t>
      </w:r>
      <w:proofErr w:type="gramEnd"/>
      <w:r w:rsidRPr="16632D18">
        <w:rPr>
          <w:rFonts w:eastAsia="Arial"/>
          <w:sz w:val="24"/>
          <w:szCs w:val="24"/>
        </w:rPr>
        <w:t xml:space="preserve">See </w:t>
      </w:r>
      <w:hyperlink r:id="rId17" w:history="1">
        <w:r w:rsidRPr="00DF1B6E">
          <w:rPr>
            <w:rStyle w:val="Hyperlink"/>
            <w:rFonts w:eastAsia="Arial"/>
            <w:sz w:val="24"/>
            <w:szCs w:val="24"/>
          </w:rPr>
          <w:t>Attachment 14</w:t>
        </w:r>
      </w:hyperlink>
      <w:r w:rsidRPr="16632D18">
        <w:rPr>
          <w:rFonts w:eastAsia="Arial"/>
          <w:sz w:val="24"/>
          <w:szCs w:val="24"/>
        </w:rPr>
        <w:t>, Sample Encumbrance Map and List of Encumbrances.</w:t>
      </w:r>
      <w:bookmarkStart w:id="1" w:name="_DV_M215"/>
      <w:bookmarkStart w:id="2" w:name="_DV_M216"/>
      <w:bookmarkStart w:id="3" w:name="_DV_M217"/>
      <w:bookmarkStart w:id="4" w:name="_DV_C199"/>
      <w:bookmarkStart w:id="5" w:name="_DV_M227"/>
      <w:bookmarkStart w:id="6" w:name="_DV_M228"/>
      <w:bookmarkStart w:id="7" w:name="_DV_M229"/>
      <w:bookmarkStart w:id="8" w:name="_DV_M23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9A7586" w:rsidSect="00E21623"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555C" w14:textId="77777777" w:rsidR="0037524D" w:rsidRDefault="0037524D">
      <w:r>
        <w:separator/>
      </w:r>
    </w:p>
  </w:endnote>
  <w:endnote w:type="continuationSeparator" w:id="0">
    <w:p w14:paraId="37BAEF3C" w14:textId="77777777" w:rsidR="0037524D" w:rsidRDefault="0037524D">
      <w:r>
        <w:continuationSeparator/>
      </w:r>
    </w:p>
  </w:endnote>
  <w:endnote w:type="continuationNotice" w:id="1">
    <w:p w14:paraId="4622B648" w14:textId="77777777" w:rsidR="0037524D" w:rsidRDefault="00375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707EF51C" w:rsidR="00A50091" w:rsidRPr="002F70B0" w:rsidRDefault="00A50091" w:rsidP="006269B4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="00D40288" w:rsidRPr="002F70B0">
      <w:rPr>
        <w:sz w:val="18"/>
        <w:szCs w:val="18"/>
      </w:rPr>
      <w:fldChar w:fldCharType="begin"/>
    </w:r>
    <w:r w:rsidR="00D40288" w:rsidRPr="002F70B0">
      <w:rPr>
        <w:sz w:val="18"/>
        <w:szCs w:val="18"/>
      </w:rPr>
      <w:instrText>FILENAME /p.</w:instrText>
    </w:r>
    <w:r w:rsidR="00D40288" w:rsidRPr="002F70B0">
      <w:rPr>
        <w:sz w:val="18"/>
        <w:szCs w:val="18"/>
      </w:rPr>
      <w:fldChar w:fldCharType="separate"/>
    </w:r>
    <w:r w:rsidR="00D40288">
      <w:rPr>
        <w:noProof/>
        <w:sz w:val="18"/>
        <w:szCs w:val="18"/>
      </w:rPr>
      <w:t xml:space="preserve">ICPG Sec </w:t>
    </w:r>
    <w:r w:rsidR="00D40288">
      <w:rPr>
        <w:noProof/>
        <w:sz w:val="18"/>
        <w:szCs w:val="18"/>
      </w:rPr>
      <w:t>C13</w:t>
    </w:r>
    <w:r w:rsidR="00D40288" w:rsidRPr="002F70B0">
      <w:rPr>
        <w:sz w:val="18"/>
        <w:szCs w:val="18"/>
      </w:rPr>
      <w:fldChar w:fldCharType="end"/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6269B4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6269B4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6269B4">
      <w:rPr>
        <w:sz w:val="18"/>
        <w:szCs w:val="18"/>
      </w:rPr>
      <w:t xml:space="preserve"> </w:t>
    </w:r>
    <w:r w:rsidR="00684C87">
      <w:rPr>
        <w:sz w:val="18"/>
        <w:szCs w:val="18"/>
      </w:rPr>
      <w:t xml:space="preserve">May </w:t>
    </w:r>
    <w:r w:rsidR="006269B4">
      <w:rPr>
        <w:sz w:val="18"/>
        <w:szCs w:val="18"/>
      </w:rPr>
      <w:t>20</w:t>
    </w:r>
    <w:r w:rsidR="00684C87">
      <w:rPr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13F2" w14:textId="77777777" w:rsidR="0037524D" w:rsidRDefault="0037524D">
      <w:r>
        <w:separator/>
      </w:r>
    </w:p>
  </w:footnote>
  <w:footnote w:type="continuationSeparator" w:id="0">
    <w:p w14:paraId="22DAEE5E" w14:textId="77777777" w:rsidR="0037524D" w:rsidRDefault="0037524D">
      <w:r>
        <w:continuationSeparator/>
      </w:r>
    </w:p>
  </w:footnote>
  <w:footnote w:type="continuationNotice" w:id="1">
    <w:p w14:paraId="0380DE90" w14:textId="77777777" w:rsidR="0037524D" w:rsidRDefault="003752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359163">
    <w:abstractNumId w:val="50"/>
  </w:num>
  <w:num w:numId="2" w16cid:durableId="1836921446">
    <w:abstractNumId w:val="30"/>
  </w:num>
  <w:num w:numId="3" w16cid:durableId="1434476994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675425946">
    <w:abstractNumId w:val="23"/>
  </w:num>
  <w:num w:numId="5" w16cid:durableId="597913154">
    <w:abstractNumId w:val="43"/>
  </w:num>
  <w:num w:numId="6" w16cid:durableId="1804468562">
    <w:abstractNumId w:val="49"/>
  </w:num>
  <w:num w:numId="7" w16cid:durableId="1191604811">
    <w:abstractNumId w:val="54"/>
  </w:num>
  <w:num w:numId="8" w16cid:durableId="476384994">
    <w:abstractNumId w:val="22"/>
  </w:num>
  <w:num w:numId="9" w16cid:durableId="727607163">
    <w:abstractNumId w:val="31"/>
  </w:num>
  <w:num w:numId="10" w16cid:durableId="772549611">
    <w:abstractNumId w:val="14"/>
  </w:num>
  <w:num w:numId="11" w16cid:durableId="1198815297">
    <w:abstractNumId w:val="41"/>
  </w:num>
  <w:num w:numId="12" w16cid:durableId="1074427524">
    <w:abstractNumId w:val="33"/>
  </w:num>
  <w:num w:numId="13" w16cid:durableId="404881564">
    <w:abstractNumId w:val="26"/>
  </w:num>
  <w:num w:numId="14" w16cid:durableId="2122913482">
    <w:abstractNumId w:val="9"/>
  </w:num>
  <w:num w:numId="15" w16cid:durableId="1233007812">
    <w:abstractNumId w:val="7"/>
  </w:num>
  <w:num w:numId="16" w16cid:durableId="527136015">
    <w:abstractNumId w:val="6"/>
  </w:num>
  <w:num w:numId="17" w16cid:durableId="510992617">
    <w:abstractNumId w:val="5"/>
  </w:num>
  <w:num w:numId="18" w16cid:durableId="658273341">
    <w:abstractNumId w:val="4"/>
  </w:num>
  <w:num w:numId="19" w16cid:durableId="790053349">
    <w:abstractNumId w:val="8"/>
  </w:num>
  <w:num w:numId="20" w16cid:durableId="21371349">
    <w:abstractNumId w:val="3"/>
  </w:num>
  <w:num w:numId="21" w16cid:durableId="454913968">
    <w:abstractNumId w:val="2"/>
  </w:num>
  <w:num w:numId="22" w16cid:durableId="955211912">
    <w:abstractNumId w:val="1"/>
  </w:num>
  <w:num w:numId="23" w16cid:durableId="274363828">
    <w:abstractNumId w:val="0"/>
  </w:num>
  <w:num w:numId="24" w16cid:durableId="206382616">
    <w:abstractNumId w:val="11"/>
  </w:num>
  <w:num w:numId="25" w16cid:durableId="431904423">
    <w:abstractNumId w:val="51"/>
  </w:num>
  <w:num w:numId="26" w16cid:durableId="854464482">
    <w:abstractNumId w:val="12"/>
  </w:num>
  <w:num w:numId="27" w16cid:durableId="764426730">
    <w:abstractNumId w:val="13"/>
  </w:num>
  <w:num w:numId="28" w16cid:durableId="1023366451">
    <w:abstractNumId w:val="29"/>
  </w:num>
  <w:num w:numId="29" w16cid:durableId="558983958">
    <w:abstractNumId w:val="19"/>
  </w:num>
  <w:num w:numId="30" w16cid:durableId="960302025">
    <w:abstractNumId w:val="40"/>
  </w:num>
  <w:num w:numId="31" w16cid:durableId="2124955902">
    <w:abstractNumId w:val="44"/>
  </w:num>
  <w:num w:numId="32" w16cid:durableId="638074823">
    <w:abstractNumId w:val="39"/>
  </w:num>
  <w:num w:numId="33" w16cid:durableId="1624312607">
    <w:abstractNumId w:val="28"/>
  </w:num>
  <w:num w:numId="34" w16cid:durableId="354617454">
    <w:abstractNumId w:val="36"/>
  </w:num>
  <w:num w:numId="35" w16cid:durableId="1853836332">
    <w:abstractNumId w:val="53"/>
  </w:num>
  <w:num w:numId="36" w16cid:durableId="1443112797">
    <w:abstractNumId w:val="27"/>
  </w:num>
  <w:num w:numId="37" w16cid:durableId="1658995549">
    <w:abstractNumId w:val="34"/>
  </w:num>
  <w:num w:numId="38" w16cid:durableId="179588018">
    <w:abstractNumId w:val="38"/>
  </w:num>
  <w:num w:numId="39" w16cid:durableId="1687712685">
    <w:abstractNumId w:val="47"/>
  </w:num>
  <w:num w:numId="40" w16cid:durableId="1508059863">
    <w:abstractNumId w:val="42"/>
  </w:num>
  <w:num w:numId="41" w16cid:durableId="1991446586">
    <w:abstractNumId w:val="46"/>
  </w:num>
  <w:num w:numId="42" w16cid:durableId="1985355638">
    <w:abstractNumId w:val="52"/>
  </w:num>
  <w:num w:numId="43" w16cid:durableId="927077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716845">
    <w:abstractNumId w:val="17"/>
  </w:num>
  <w:num w:numId="45" w16cid:durableId="10632188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98746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454050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15752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1380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36581504">
    <w:abstractNumId w:val="24"/>
  </w:num>
  <w:num w:numId="51" w16cid:durableId="1776974600">
    <w:abstractNumId w:val="18"/>
  </w:num>
  <w:num w:numId="52" w16cid:durableId="1200626343">
    <w:abstractNumId w:val="21"/>
  </w:num>
  <w:num w:numId="53" w16cid:durableId="1895461888">
    <w:abstractNumId w:val="32"/>
  </w:num>
  <w:num w:numId="54" w16cid:durableId="350766501">
    <w:abstractNumId w:val="16"/>
  </w:num>
  <w:num w:numId="55" w16cid:durableId="1789664980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6C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5B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3CA9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614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43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1467"/>
    <w:rsid w:val="00322085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24D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395D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DE9"/>
    <w:rsid w:val="004E0747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3251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2F7A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1EA4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9B4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4C87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A0A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1E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18A"/>
    <w:rsid w:val="00722A11"/>
    <w:rsid w:val="0072480B"/>
    <w:rsid w:val="0072502D"/>
    <w:rsid w:val="00726417"/>
    <w:rsid w:val="00727C93"/>
    <w:rsid w:val="00730A66"/>
    <w:rsid w:val="0073154E"/>
    <w:rsid w:val="00734093"/>
    <w:rsid w:val="00734637"/>
    <w:rsid w:val="00737D7F"/>
    <w:rsid w:val="00740026"/>
    <w:rsid w:val="0074163E"/>
    <w:rsid w:val="00741855"/>
    <w:rsid w:val="00743058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4EB3"/>
    <w:rsid w:val="00755C44"/>
    <w:rsid w:val="00756A38"/>
    <w:rsid w:val="0075714B"/>
    <w:rsid w:val="00757582"/>
    <w:rsid w:val="00760465"/>
    <w:rsid w:val="00761A39"/>
    <w:rsid w:val="007621BC"/>
    <w:rsid w:val="00762CEF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45D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16AD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0091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3F52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49A8"/>
    <w:rsid w:val="00B307B6"/>
    <w:rsid w:val="00B31456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704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B06A3"/>
    <w:rsid w:val="00BB123C"/>
    <w:rsid w:val="00BB12AF"/>
    <w:rsid w:val="00BB1708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2E10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584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2F66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288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71BD"/>
    <w:rsid w:val="00DC7823"/>
    <w:rsid w:val="00DD0D6B"/>
    <w:rsid w:val="00DD16D8"/>
    <w:rsid w:val="00DD358E"/>
    <w:rsid w:val="00DD4B4F"/>
    <w:rsid w:val="00DD5C9D"/>
    <w:rsid w:val="00DD6090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B6E"/>
    <w:rsid w:val="00DF1EFC"/>
    <w:rsid w:val="00DF400F"/>
    <w:rsid w:val="00DF5469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623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41F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0D82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484AB0E1"/>
    <w:rsid w:val="63FF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D1813E"/>
  <w15:docId w15:val="{91ADBDF6-1FC2-4E0A-9885-2BBA95B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loridadep.gov/waste/waste/documents/icpg-attachment-1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loridadep.gov/waste/waste/documents/attachment-9-actual-notice-intent-approve-use-institutional-control-easement" TargetMode="External"/><Relationship Id="rId17" Type="http://schemas.openxmlformats.org/officeDocument/2006/relationships/hyperlink" Target="https://floridadep.gov/waste/waste/documents/attachment-14-example-encumbrance-map-list-easements-affecting-restricted-are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oridadep.gov/waste/waste/documents/icpg-attachment-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loridadep.gov/waste/waste/documents/icpg-attachment-11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loridadep.gov/waste/waste/documents/attachment-12-sample-subordination-encumbrance-declaration-restri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>OGC is done with this.  I have inserted comments where hyperlinks should be added.</Comments>
    <Predecessors xmlns="http://schemas.microsoft.com/sharepoint/v4" xsi:nil="true"/>
    <_dlc_DocId xmlns="ed83551b-1c74-4eb0-a689-e3b00317a30f">NPVFY6KNS3ZM-64548901-99</_dlc_DocId>
    <_dlc_DocIdUrl xmlns="ed83551b-1c74-4eb0-a689-e3b00317a30f">
      <Url>https://floridadep.sharepoint.com/dwm/dbs/_layouts/15/DocIdRedir.aspx?ID=NPVFY6KNS3ZM-64548901-99</Url>
      <Description>NPVFY6KNS3ZM-64548901-99</Description>
    </_dlc_DocIdUrl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2. Editing</_Status>
    <_Revision xmlns="http://schemas.microsoft.com/sharepoint/v3/fields">2017-03-01T05:00:00+00:00</_Revision>
    <Att_x0023_ xmlns="bce3612e-db85-4acd-8599-3a8febd7decf">C.13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>2019</Publish_x0020_Date>
    <ICPG_x0020_Name xmlns="bce3612e-db85-4acd-8599-3a8febd7decf">Section</ICPG_x0020_Name>
    <Issues_x002f_Resolution xmlns="bce3612e-db85-4acd-8599-3a8febd7de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BE48-DC4E-419E-9F9D-CFA61F73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B51F4D-DF81-45EE-9B75-1539B3C8F238}">
  <ds:schemaRefs>
    <ds:schemaRef ds:uri="http://schemas.microsoft.com/sharepoint/v3"/>
    <ds:schemaRef ds:uri="bce3612e-db85-4acd-8599-3a8febd7decf"/>
    <ds:schemaRef ds:uri="c05288ad-27ce-44c7-9a1f-49590b356f7f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ed83551b-1c74-4eb0-a689-e3b00317a30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9A84E3-2683-418A-984D-C59C757E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ICPG Text</vt:lpstr>
    </vt:vector>
  </TitlesOfParts>
  <Manager/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Goff, Kendra</dc:creator>
  <cp:lastModifiedBy>Goff, Kendra</cp:lastModifiedBy>
  <cp:revision>3</cp:revision>
  <dcterms:created xsi:type="dcterms:W3CDTF">2025-05-20T17:46:00Z</dcterms:created>
  <dcterms:modified xsi:type="dcterms:W3CDTF">2025-05-20T19:39:00Z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6c6e1cc9-b02c-48fd-a03d-1ac7ca4263b9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  <property fmtid="{D5CDD505-2E9C-101B-9397-08002B2CF9AE}" pid="6" name="AuthorIds_UIVersion_11776">
    <vt:lpwstr>6628</vt:lpwstr>
  </property>
</Properties>
</file>