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22B208" w14:textId="77777777" w:rsidR="00FF06C0" w:rsidRDefault="00FF06C0" w:rsidP="00FF06C0">
      <w:pPr>
        <w:rPr>
          <w:b/>
        </w:rPr>
      </w:pPr>
      <w:bookmarkStart w:id="0" w:name="_GoBack"/>
      <w:bookmarkEnd w:id="0"/>
    </w:p>
    <w:p w14:paraId="4D148AD7" w14:textId="77777777" w:rsidR="00FF06C0" w:rsidRPr="00C36B49" w:rsidRDefault="00FF06C0" w:rsidP="00FF06C0">
      <w:pPr>
        <w:rPr>
          <w:b/>
        </w:rPr>
      </w:pPr>
      <w:r w:rsidRPr="00C36B49">
        <w:rPr>
          <w:b/>
        </w:rPr>
        <w:t>ISSUE INFORMATION COVER SHEET</w:t>
      </w:r>
    </w:p>
    <w:p w14:paraId="281F2659" w14:textId="77777777" w:rsidR="00FF06C0" w:rsidRPr="00C36B49" w:rsidRDefault="00FF06C0" w:rsidP="00FF06C0"/>
    <w:p w14:paraId="4E0EE405" w14:textId="77777777" w:rsidR="00FF06C0" w:rsidRPr="00C36B49" w:rsidRDefault="00FF06C0" w:rsidP="00FF06C0">
      <w:pPr>
        <w:rPr>
          <w:b/>
        </w:rPr>
      </w:pPr>
      <w:r w:rsidRPr="00C36B49">
        <w:rPr>
          <w:b/>
        </w:rPr>
        <w:t>_____ ACTION REQUEST</w:t>
      </w:r>
      <w:r w:rsidRPr="00C36B49">
        <w:rPr>
          <w:b/>
        </w:rPr>
        <w:tab/>
        <w:t>(or)</w:t>
      </w:r>
      <w:r w:rsidRPr="00C36B49">
        <w:rPr>
          <w:b/>
        </w:rPr>
        <w:tab/>
      </w:r>
      <w:r w:rsidRPr="00C36B49">
        <w:rPr>
          <w:b/>
        </w:rPr>
        <w:tab/>
        <w:t>__X__ FYI ONLY</w:t>
      </w:r>
    </w:p>
    <w:p w14:paraId="2C4E7CCB" w14:textId="77777777" w:rsidR="00FF06C0" w:rsidRPr="00C36B49" w:rsidRDefault="00FF06C0" w:rsidP="00FF06C0"/>
    <w:p w14:paraId="5A163D94" w14:textId="01AF6902" w:rsidR="00FF06C0" w:rsidRPr="007C01F0" w:rsidRDefault="0079134C" w:rsidP="00B11B59">
      <w:pPr>
        <w:tabs>
          <w:tab w:val="left" w:pos="990"/>
        </w:tabs>
      </w:pPr>
      <w:r>
        <w:t>To:</w:t>
      </w:r>
      <w:r w:rsidR="00B11B59">
        <w:t xml:space="preserve"> </w:t>
      </w:r>
      <w:r w:rsidR="00B11B59">
        <w:tab/>
      </w:r>
      <w:r w:rsidR="00D22D0A" w:rsidRPr="007C01F0">
        <w:t>All Regulatory Staff</w:t>
      </w:r>
      <w:r w:rsidR="00FF06C0" w:rsidRPr="007C01F0">
        <w:tab/>
      </w:r>
    </w:p>
    <w:p w14:paraId="22453BB2" w14:textId="2B8492FA" w:rsidR="00FF06C0" w:rsidRPr="007C01F0" w:rsidRDefault="00FF06C0" w:rsidP="00B11B59">
      <w:pPr>
        <w:pStyle w:val="Default"/>
        <w:tabs>
          <w:tab w:val="left" w:pos="990"/>
        </w:tabs>
      </w:pPr>
      <w:r w:rsidRPr="007C01F0">
        <w:t>From:</w:t>
      </w:r>
      <w:r w:rsidR="00B11B59">
        <w:t xml:space="preserve"> </w:t>
      </w:r>
      <w:r w:rsidR="00B11B59">
        <w:tab/>
      </w:r>
      <w:r w:rsidR="00D22D0A" w:rsidRPr="007C01F0">
        <w:t>Michael P. Halpin, Assistant Deputy Secretary</w:t>
      </w:r>
      <w:r w:rsidR="00D22D0A" w:rsidRPr="007C01F0">
        <w:rPr>
          <w:b/>
          <w:bCs/>
        </w:rPr>
        <w:t xml:space="preserve">, </w:t>
      </w:r>
      <w:r w:rsidR="00D22D0A" w:rsidRPr="007C01F0">
        <w:t xml:space="preserve">Regulatory Programs </w:t>
      </w:r>
      <w:r w:rsidRPr="007C01F0">
        <w:tab/>
      </w:r>
    </w:p>
    <w:p w14:paraId="550FE8D7" w14:textId="382C3E7C" w:rsidR="00FF06C0" w:rsidRPr="007C01F0" w:rsidRDefault="00FF06C0" w:rsidP="00B11B59">
      <w:pPr>
        <w:tabs>
          <w:tab w:val="left" w:pos="990"/>
        </w:tabs>
      </w:pPr>
      <w:r w:rsidRPr="007C01F0">
        <w:t>Date:</w:t>
      </w:r>
      <w:r w:rsidR="0079134C">
        <w:t xml:space="preserve"> </w:t>
      </w:r>
      <w:r w:rsidR="0079134C">
        <w:tab/>
      </w:r>
      <w:r w:rsidR="00054353" w:rsidRPr="007C01F0">
        <w:t xml:space="preserve">December </w:t>
      </w:r>
      <w:r w:rsidR="00F31975">
        <w:t>11</w:t>
      </w:r>
      <w:r w:rsidR="00054353" w:rsidRPr="007C01F0">
        <w:t>, 2017</w:t>
      </w:r>
    </w:p>
    <w:p w14:paraId="5E645D64" w14:textId="4D0372FA" w:rsidR="00FF06C0" w:rsidRPr="007C01F0" w:rsidRDefault="0079134C" w:rsidP="00FF06C0">
      <w:r>
        <w:t xml:space="preserve">Subject:   </w:t>
      </w:r>
      <w:r w:rsidR="00054353" w:rsidRPr="007C01F0">
        <w:t xml:space="preserve">Tracking of </w:t>
      </w:r>
      <w:r w:rsidR="00986C66" w:rsidRPr="007C01F0">
        <w:t xml:space="preserve">Regulatory Program </w:t>
      </w:r>
      <w:r w:rsidR="007F3EDE">
        <w:t>Enforcement Corrective Action</w:t>
      </w:r>
      <w:r w:rsidR="00526114">
        <w:t>s</w:t>
      </w:r>
      <w:r w:rsidR="00054353" w:rsidRPr="007C01F0">
        <w:t xml:space="preserve"> Requirements</w:t>
      </w:r>
    </w:p>
    <w:p w14:paraId="4B5FA4A3" w14:textId="77777777" w:rsidR="00FF06C0" w:rsidRPr="007C01F0" w:rsidRDefault="00FF06C0" w:rsidP="00FF06C0">
      <w:pPr>
        <w:pBdr>
          <w:bottom w:val="single" w:sz="6" w:space="1" w:color="auto"/>
        </w:pBdr>
      </w:pPr>
    </w:p>
    <w:p w14:paraId="2F3BDCDA" w14:textId="23B638D4" w:rsidR="00FF06C0" w:rsidRDefault="00FF06C0" w:rsidP="00FF06C0"/>
    <w:p w14:paraId="20AED18B" w14:textId="211CBE65" w:rsidR="0079134C" w:rsidRPr="00C77D62" w:rsidRDefault="0079134C" w:rsidP="00FF06C0">
      <w:pPr>
        <w:rPr>
          <w:b/>
          <w:u w:val="single"/>
        </w:rPr>
      </w:pPr>
      <w:r>
        <w:rPr>
          <w:b/>
          <w:u w:val="single"/>
        </w:rPr>
        <w:t xml:space="preserve">New </w:t>
      </w:r>
      <w:r w:rsidR="007F3EDE">
        <w:rPr>
          <w:b/>
          <w:u w:val="single"/>
        </w:rPr>
        <w:t>Enforcement Corrective Action</w:t>
      </w:r>
      <w:r w:rsidR="00526114">
        <w:rPr>
          <w:b/>
          <w:u w:val="single"/>
        </w:rPr>
        <w:t>s</w:t>
      </w:r>
      <w:r w:rsidRPr="00C77D62">
        <w:rPr>
          <w:b/>
          <w:u w:val="single"/>
        </w:rPr>
        <w:t xml:space="preserve"> Tracking:</w:t>
      </w:r>
    </w:p>
    <w:p w14:paraId="269476A8" w14:textId="5C4B4088" w:rsidR="00D22D0A" w:rsidRPr="007C01F0" w:rsidRDefault="0086124F" w:rsidP="00D22D0A">
      <w:pPr>
        <w:pStyle w:val="Default"/>
      </w:pPr>
      <w:r w:rsidRPr="007C01F0">
        <w:t>This guidanc</w:t>
      </w:r>
      <w:r w:rsidR="0077172B" w:rsidRPr="007C01F0">
        <w:t>e is intended to ensure that</w:t>
      </w:r>
      <w:r w:rsidRPr="007C01F0">
        <w:t xml:space="preserve"> </w:t>
      </w:r>
      <w:r w:rsidR="0077172B" w:rsidRPr="007C01F0">
        <w:t xml:space="preserve">all </w:t>
      </w:r>
      <w:r w:rsidRPr="007C01F0">
        <w:t>requirements</w:t>
      </w:r>
      <w:r w:rsidR="0077172B" w:rsidRPr="007C01F0">
        <w:t xml:space="preserve"> with due dates </w:t>
      </w:r>
      <w:r w:rsidRPr="007C01F0">
        <w:t>embodied within</w:t>
      </w:r>
      <w:r w:rsidR="00AC2B22" w:rsidRPr="007C01F0">
        <w:t xml:space="preserve"> </w:t>
      </w:r>
      <w:r w:rsidRPr="007C01F0">
        <w:t>Consent Orders</w:t>
      </w:r>
      <w:r w:rsidR="007F3EDE">
        <w:t>, Final Orders and Final Judgments</w:t>
      </w:r>
      <w:r w:rsidRPr="007C01F0">
        <w:t xml:space="preserve"> </w:t>
      </w:r>
      <w:r w:rsidR="0077172B" w:rsidRPr="007C01F0">
        <w:t>are tracked</w:t>
      </w:r>
      <w:r w:rsidR="00984C4B" w:rsidRPr="007C01F0">
        <w:t xml:space="preserve"> for </w:t>
      </w:r>
      <w:r w:rsidR="0077172B" w:rsidRPr="007C01F0">
        <w:t>timel</w:t>
      </w:r>
      <w:r w:rsidR="00984C4B" w:rsidRPr="007C01F0">
        <w:t xml:space="preserve">y completion. </w:t>
      </w:r>
      <w:r w:rsidR="0079134C" w:rsidRPr="007C01F0">
        <w:t>To</w:t>
      </w:r>
      <w:r w:rsidR="00AC2B22" w:rsidRPr="007C01F0">
        <w:t xml:space="preserve"> facilitate this tracking, an Access database has been developed and is required </w:t>
      </w:r>
      <w:r w:rsidR="003F1C9C" w:rsidRPr="007C01F0">
        <w:t xml:space="preserve">to be used </w:t>
      </w:r>
      <w:r w:rsidR="0079134C">
        <w:t>in</w:t>
      </w:r>
      <w:r w:rsidR="003F1C9C" w:rsidRPr="007C01F0">
        <w:t xml:space="preserve"> all Regulatory programs.</w:t>
      </w:r>
    </w:p>
    <w:p w14:paraId="2898CE3E" w14:textId="77777777" w:rsidR="006452E5" w:rsidRPr="007C01F0" w:rsidRDefault="006452E5" w:rsidP="00D22D0A">
      <w:pPr>
        <w:pStyle w:val="Default"/>
      </w:pPr>
    </w:p>
    <w:p w14:paraId="092CF7BE" w14:textId="4BAD62CD" w:rsidR="006452E5" w:rsidRPr="007C01F0" w:rsidRDefault="006452E5" w:rsidP="007570D2">
      <w:r w:rsidRPr="007C01F0">
        <w:t xml:space="preserve">The </w:t>
      </w:r>
      <w:r w:rsidR="007C01F0">
        <w:t xml:space="preserve">“CAP </w:t>
      </w:r>
      <w:r w:rsidRPr="007C01F0">
        <w:t xml:space="preserve">Access </w:t>
      </w:r>
      <w:r w:rsidR="00522659" w:rsidRPr="007C01F0">
        <w:t>D</w:t>
      </w:r>
      <w:r w:rsidRPr="007C01F0">
        <w:t>atabase</w:t>
      </w:r>
      <w:r w:rsidR="007C01F0">
        <w:t>”</w:t>
      </w:r>
      <w:r w:rsidRPr="007C01F0">
        <w:t xml:space="preserve"> is a multipurpose database that tracks work plans and compliance activities</w:t>
      </w:r>
      <w:r w:rsidR="00522659" w:rsidRPr="007C01F0">
        <w:t xml:space="preserve"> across all programs</w:t>
      </w:r>
      <w:r w:rsidRPr="007C01F0">
        <w:t>, and is particularly useful in tracking enforcemen</w:t>
      </w:r>
      <w:r w:rsidR="00522659" w:rsidRPr="007C01F0">
        <w:t xml:space="preserve">t. This was created as a single information </w:t>
      </w:r>
      <w:r w:rsidR="007C01F0">
        <w:t xml:space="preserve">location to contain all </w:t>
      </w:r>
      <w:r w:rsidRPr="007C01F0">
        <w:t>District and Division CAP staffs’ workload actions</w:t>
      </w:r>
      <w:r w:rsidR="00522659" w:rsidRPr="007C01F0">
        <w:t>;</w:t>
      </w:r>
      <w:r w:rsidRPr="007C01F0">
        <w:t xml:space="preserve"> to provide</w:t>
      </w:r>
      <w:r w:rsidR="00522659" w:rsidRPr="007C01F0">
        <w:t xml:space="preserve"> </w:t>
      </w:r>
      <w:r w:rsidRPr="007C01F0">
        <w:t>the capability to track follow-up and response to CAP activities; and to track corrective actions of enforcement documents.  The flexible report functions can be used</w:t>
      </w:r>
      <w:r w:rsidR="00522659" w:rsidRPr="007C01F0">
        <w:t xml:space="preserve"> </w:t>
      </w:r>
      <w:r w:rsidRPr="007C01F0">
        <w:t>to ensure every action is completed in a timely manner. The CAP Access Database replaces the current spreadsheet</w:t>
      </w:r>
      <w:r w:rsidR="0079134C">
        <w:t xml:space="preserve"> </w:t>
      </w:r>
      <w:r w:rsidRPr="007C01F0">
        <w:t>format</w:t>
      </w:r>
      <w:r w:rsidR="0079134C">
        <w:t xml:space="preserve"> that</w:t>
      </w:r>
      <w:r w:rsidRPr="007C01F0">
        <w:t xml:space="preserve"> many program areas needed for </w:t>
      </w:r>
      <w:r w:rsidR="00522659" w:rsidRPr="007C01F0">
        <w:t>work-plans</w:t>
      </w:r>
      <w:r w:rsidRPr="007C01F0">
        <w:t xml:space="preserve"> and tracking other compliance and enforcement deliverables. It also provides a holistic look at each inspector’s work load, and a reference for managers </w:t>
      </w:r>
      <w:r w:rsidR="00522B73">
        <w:t>and above</w:t>
      </w:r>
      <w:r w:rsidR="00522659" w:rsidRPr="007C01F0">
        <w:t xml:space="preserve"> to track and follow-up on </w:t>
      </w:r>
      <w:r w:rsidRPr="007C01F0">
        <w:t xml:space="preserve">projects. </w:t>
      </w:r>
    </w:p>
    <w:p w14:paraId="1D28F7FC" w14:textId="77777777" w:rsidR="006452E5" w:rsidRPr="007C01F0" w:rsidRDefault="006452E5" w:rsidP="007570D2">
      <w:pPr>
        <w:rPr>
          <w:b/>
        </w:rPr>
      </w:pPr>
    </w:p>
    <w:p w14:paraId="15BA35FF" w14:textId="77777777" w:rsidR="0079134C" w:rsidRDefault="006452E5" w:rsidP="007570D2">
      <w:r w:rsidRPr="00C77D62">
        <w:rPr>
          <w:b/>
          <w:u w:val="single"/>
        </w:rPr>
        <w:t>How it should be used to track enforcement</w:t>
      </w:r>
      <w:r w:rsidRPr="00C77D62">
        <w:rPr>
          <w:u w:val="single"/>
        </w:rPr>
        <w:t>:</w:t>
      </w:r>
    </w:p>
    <w:p w14:paraId="47BE4EB8" w14:textId="55B43680" w:rsidR="006452E5" w:rsidRPr="007C01F0" w:rsidRDefault="006452E5" w:rsidP="007570D2">
      <w:r w:rsidRPr="007C01F0">
        <w:t>In tracking enforcement, the CAP Access Database should be used to capture the existence of the enforcement document itself, as well as each corrective action required by that legal document and its due date. This is done by entering the details of the case on the appropriate program Case Management tab, as shown in the screenshot example below:</w:t>
      </w:r>
    </w:p>
    <w:p w14:paraId="3BF145F4" w14:textId="621C33AC" w:rsidR="00DD3C63" w:rsidRPr="007C01F0" w:rsidRDefault="00DD3C63" w:rsidP="007570D2"/>
    <w:p w14:paraId="6ADED051" w14:textId="77777777" w:rsidR="006452E5" w:rsidRPr="007C01F0" w:rsidRDefault="006452E5" w:rsidP="007570D2">
      <w:r w:rsidRPr="007C01F0">
        <w:rPr>
          <w:noProof/>
        </w:rPr>
        <w:lastRenderedPageBreak/>
        <w:drawing>
          <wp:inline distT="0" distB="0" distL="0" distR="0" wp14:anchorId="6AB88578" wp14:editId="295D7262">
            <wp:extent cx="5943600" cy="2057400"/>
            <wp:effectExtent l="0" t="0" r="0" b="0"/>
            <wp:docPr id="4" name="Picture 4" descr="HW Case Management tab includes County, Facility ID and Name, CAO issue date, CAO Response Due, CAO RTC'd, WL sent date, WL response due, OGC number, Executed Date, Corrective Actions Next Due Date and comments" title="Example of Case Management Tab for HW Case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2057400"/>
                    </a:xfrm>
                    <a:prstGeom prst="rect">
                      <a:avLst/>
                    </a:prstGeom>
                  </pic:spPr>
                </pic:pic>
              </a:graphicData>
            </a:graphic>
          </wp:inline>
        </w:drawing>
      </w:r>
    </w:p>
    <w:p w14:paraId="1BA3A1B4" w14:textId="77777777" w:rsidR="00522B73" w:rsidRDefault="00522B73" w:rsidP="007570D2"/>
    <w:p w14:paraId="00C5C9AA" w14:textId="7D9BB925" w:rsidR="00522B73" w:rsidRPr="007C01F0" w:rsidRDefault="006452E5" w:rsidP="007570D2">
      <w:r w:rsidRPr="007C01F0">
        <w:t>To capture each corrective action, click the ‘Edit Corrective Actions’ button and enter the name, penalty value, due date, etc., as shown in the screenshot below:</w:t>
      </w:r>
    </w:p>
    <w:p w14:paraId="4616E360" w14:textId="77777777" w:rsidR="006452E5" w:rsidRPr="007C01F0" w:rsidRDefault="006452E5" w:rsidP="007570D2">
      <w:r w:rsidRPr="007C01F0">
        <w:rPr>
          <w:noProof/>
        </w:rPr>
        <w:drawing>
          <wp:inline distT="0" distB="0" distL="0" distR="0" wp14:anchorId="4AD7ACC9" wp14:editId="624AEAD7">
            <wp:extent cx="5943600" cy="1943100"/>
            <wp:effectExtent l="0" t="0" r="0" b="0"/>
            <wp:docPr id="3" name="Picture 3" descr="can enter information including Name of Corrective Action, Penalty value, Due date, Recurrence Interval (in months) and Recurrence count." title="Corrective Actions Detail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943100"/>
                    </a:xfrm>
                    <a:prstGeom prst="rect">
                      <a:avLst/>
                    </a:prstGeom>
                  </pic:spPr>
                </pic:pic>
              </a:graphicData>
            </a:graphic>
          </wp:inline>
        </w:drawing>
      </w:r>
    </w:p>
    <w:p w14:paraId="6D6D8838" w14:textId="77777777" w:rsidR="00522B73" w:rsidRDefault="00522B73" w:rsidP="007570D2"/>
    <w:p w14:paraId="375C0A8A" w14:textId="4BCB34D0" w:rsidR="0079134C" w:rsidRPr="007C01F0" w:rsidRDefault="006452E5" w:rsidP="007570D2">
      <w:r w:rsidRPr="007C01F0">
        <w:t xml:space="preserve">Fields are provided for frequency and total number of deliverables for actions that recur. As corrective actions are completed the ‘Completion Date’ field should be entered and, upon completion of all corrective actions, the ‘CASE CLOSED Date’ on the Case Management tab should be entered and a Closure Memo sent to OGC. Management and staff should regularly run reports showing upcoming and overdue corrective actions </w:t>
      </w:r>
      <w:proofErr w:type="gramStart"/>
      <w:r w:rsidRPr="007C01F0">
        <w:t>in order to</w:t>
      </w:r>
      <w:proofErr w:type="gramEnd"/>
      <w:r w:rsidRPr="007C01F0">
        <w:t xml:space="preserve"> follow-up on missing items and ensure upcoming due dates are met. Several reports, including ‘Cases with Corrective Actions (CA) Due’ are easily accessible in the lower left corner of the main screen, as shown in the screenshot below.</w:t>
      </w:r>
    </w:p>
    <w:p w14:paraId="04AA6B6D" w14:textId="5A5934E1" w:rsidR="002C6397" w:rsidRPr="007C01F0" w:rsidRDefault="0079134C" w:rsidP="00C77D62">
      <w:pPr>
        <w:jc w:val="center"/>
      </w:pPr>
      <w:r w:rsidRPr="007C01F0">
        <w:rPr>
          <w:noProof/>
        </w:rPr>
        <w:drawing>
          <wp:inline distT="0" distB="0" distL="0" distR="0" wp14:anchorId="7872C5B8" wp14:editId="22ADCDF4">
            <wp:extent cx="1983179" cy="1548405"/>
            <wp:effectExtent l="0" t="0" r="0" b="0"/>
            <wp:docPr id="7" name="Picture 7" descr="reports menu includes access to report for Cases with CAs Due this Month" title="Report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98078" cy="1560038"/>
                    </a:xfrm>
                    <a:prstGeom prst="rect">
                      <a:avLst/>
                    </a:prstGeom>
                  </pic:spPr>
                </pic:pic>
              </a:graphicData>
            </a:graphic>
          </wp:inline>
        </w:drawing>
      </w:r>
    </w:p>
    <w:p w14:paraId="3FFA4DCE" w14:textId="77777777" w:rsidR="002C6397" w:rsidRDefault="002C6397" w:rsidP="00D22D0A"/>
    <w:p w14:paraId="7DB02CED" w14:textId="05CC6348" w:rsidR="003C6F11" w:rsidRPr="007C01F0" w:rsidRDefault="00923E08" w:rsidP="00D22D0A">
      <w:r>
        <w:lastRenderedPageBreak/>
        <w:t>Effective immediately, the use of this database is required for all Regulatory Consent Orders</w:t>
      </w:r>
      <w:r w:rsidR="007F3EDE">
        <w:t xml:space="preserve"> and Final Orders, and Final Judgments</w:t>
      </w:r>
      <w:r>
        <w:t>.</w:t>
      </w:r>
      <w:r w:rsidR="00FA3AF7">
        <w:t xml:space="preserve"> </w:t>
      </w:r>
      <w:r>
        <w:t xml:space="preserve"> </w:t>
      </w:r>
      <w:r w:rsidR="00522659" w:rsidRPr="007C01F0">
        <w:t>Should yo</w:t>
      </w:r>
      <w:r>
        <w:t>u have questions</w:t>
      </w:r>
      <w:r w:rsidR="00522659" w:rsidRPr="007C01F0">
        <w:t xml:space="preserve">, please </w:t>
      </w:r>
      <w:r w:rsidR="00D22D0A" w:rsidRPr="007C01F0">
        <w:t>discuss with your Assistant or Deputy Director.</w:t>
      </w:r>
    </w:p>
    <w:sectPr w:rsidR="003C6F11" w:rsidRPr="007C01F0" w:rsidSect="00C77D62">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E23B32" w14:textId="77777777" w:rsidR="00E74E50" w:rsidRDefault="00E74E50">
      <w:r>
        <w:separator/>
      </w:r>
    </w:p>
  </w:endnote>
  <w:endnote w:type="continuationSeparator" w:id="0">
    <w:p w14:paraId="01484551" w14:textId="77777777" w:rsidR="00E74E50" w:rsidRDefault="00E74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Fan Heiti Std B">
    <w:charset w:val="80"/>
    <w:family w:val="swiss"/>
    <w:pitch w:val="variable"/>
    <w:sig w:usb0="00000203" w:usb1="1A0F1900" w:usb2="00000016" w:usb3="00000000" w:csb0="00120005"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79782" w14:textId="77777777" w:rsidR="001F4204" w:rsidRPr="001A7D80" w:rsidRDefault="001F4204" w:rsidP="001A7D80">
    <w:pPr>
      <w:pStyle w:val="Footer"/>
      <w:jc w:val="center"/>
      <w:rPr>
        <w:i/>
        <w:color w:val="31849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71E382" w14:textId="77777777" w:rsidR="00E74E50" w:rsidRDefault="00E74E50">
      <w:r>
        <w:separator/>
      </w:r>
    </w:p>
  </w:footnote>
  <w:footnote w:type="continuationSeparator" w:id="0">
    <w:p w14:paraId="7446672A" w14:textId="77777777" w:rsidR="00E74E50" w:rsidRDefault="00E74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0" w:rightFromText="180" w:horzAnchor="margin" w:tblpXSpec="center" w:tblpY="-540"/>
      <w:tblW w:w="10368" w:type="dxa"/>
      <w:tblLayout w:type="fixed"/>
      <w:tblLook w:val="01E0" w:firstRow="1" w:lastRow="1" w:firstColumn="1" w:lastColumn="1" w:noHBand="0" w:noVBand="0"/>
    </w:tblPr>
    <w:tblGrid>
      <w:gridCol w:w="2448"/>
      <w:gridCol w:w="5400"/>
      <w:gridCol w:w="2520"/>
    </w:tblGrid>
    <w:tr w:rsidR="001F4204" w14:paraId="57359E09" w14:textId="77777777" w:rsidTr="00463DB6">
      <w:tc>
        <w:tcPr>
          <w:tcW w:w="2448" w:type="dxa"/>
        </w:tcPr>
        <w:p w14:paraId="0E578A7D" w14:textId="77777777" w:rsidR="001F4204" w:rsidRDefault="0054687B" w:rsidP="00463DB6">
          <w:r>
            <w:rPr>
              <w:noProof/>
            </w:rPr>
            <w:drawing>
              <wp:inline distT="0" distB="0" distL="0" distR="0" wp14:anchorId="1C50DCDB" wp14:editId="5A17C816">
                <wp:extent cx="1417320" cy="1417320"/>
                <wp:effectExtent l="0" t="0" r="0" b="0"/>
                <wp:docPr id="1" name="Picture 1" descr="DEP logo" title="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P-Logo-Color-3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7320" cy="1417320"/>
                        </a:xfrm>
                        <a:prstGeom prst="rect">
                          <a:avLst/>
                        </a:prstGeom>
                      </pic:spPr>
                    </pic:pic>
                  </a:graphicData>
                </a:graphic>
              </wp:inline>
            </w:drawing>
          </w:r>
        </w:p>
      </w:tc>
      <w:tc>
        <w:tcPr>
          <w:tcW w:w="5400" w:type="dxa"/>
        </w:tcPr>
        <w:p w14:paraId="4F689861" w14:textId="77777777" w:rsidR="001F4204" w:rsidRPr="00217006" w:rsidRDefault="001F4204" w:rsidP="005330DF">
          <w:pPr>
            <w:spacing w:line="120" w:lineRule="atLeast"/>
            <w:jc w:val="center"/>
            <w:rPr>
              <w:rFonts w:ascii="Tahoma" w:eastAsia="Adobe Fan Heiti Std B" w:hAnsi="Tahoma" w:cs="Tahoma"/>
              <w:b/>
              <w:sz w:val="32"/>
              <w:szCs w:val="32"/>
            </w:rPr>
          </w:pPr>
          <w:r w:rsidRPr="00BC7757">
            <w:rPr>
              <w:rFonts w:ascii="Tahoma" w:eastAsia="Adobe Fan Heiti Std B" w:hAnsi="Tahoma" w:cs="Tahoma"/>
              <w:b/>
              <w:sz w:val="36"/>
              <w:szCs w:val="36"/>
            </w:rPr>
            <w:t>F</w:t>
          </w:r>
          <w:r w:rsidR="002F5A54" w:rsidRPr="00217006">
            <w:rPr>
              <w:rFonts w:ascii="Tahoma" w:eastAsia="Adobe Fan Heiti Std B" w:hAnsi="Tahoma" w:cs="Tahoma"/>
              <w:b/>
              <w:sz w:val="32"/>
              <w:szCs w:val="32"/>
            </w:rPr>
            <w:t>lorida</w:t>
          </w:r>
          <w:r w:rsidRPr="00217006">
            <w:rPr>
              <w:rFonts w:ascii="Tahoma" w:eastAsia="Adobe Fan Heiti Std B" w:hAnsi="Tahoma" w:cs="Tahoma"/>
              <w:b/>
              <w:sz w:val="32"/>
              <w:szCs w:val="32"/>
            </w:rPr>
            <w:t xml:space="preserve"> </w:t>
          </w:r>
          <w:r w:rsidRPr="00BC7757">
            <w:rPr>
              <w:rFonts w:ascii="Tahoma" w:eastAsia="Adobe Fan Heiti Std B" w:hAnsi="Tahoma" w:cs="Tahoma"/>
              <w:b/>
              <w:sz w:val="36"/>
              <w:szCs w:val="36"/>
            </w:rPr>
            <w:t>D</w:t>
          </w:r>
          <w:r w:rsidR="002F5A54" w:rsidRPr="00217006">
            <w:rPr>
              <w:rFonts w:ascii="Tahoma" w:eastAsia="Adobe Fan Heiti Std B" w:hAnsi="Tahoma" w:cs="Tahoma"/>
              <w:b/>
              <w:sz w:val="32"/>
              <w:szCs w:val="32"/>
            </w:rPr>
            <w:t>epartment</w:t>
          </w:r>
          <w:r w:rsidRPr="00217006">
            <w:rPr>
              <w:rFonts w:ascii="Tahoma" w:eastAsia="Adobe Fan Heiti Std B" w:hAnsi="Tahoma" w:cs="Tahoma"/>
              <w:b/>
              <w:sz w:val="32"/>
              <w:szCs w:val="32"/>
            </w:rPr>
            <w:t xml:space="preserve"> </w:t>
          </w:r>
          <w:r w:rsidR="00BC7757">
            <w:rPr>
              <w:rFonts w:ascii="Tahoma" w:eastAsia="Adobe Fan Heiti Std B" w:hAnsi="Tahoma" w:cs="Tahoma"/>
              <w:b/>
              <w:sz w:val="32"/>
              <w:szCs w:val="32"/>
            </w:rPr>
            <w:t>o</w:t>
          </w:r>
          <w:r w:rsidR="002F5A54" w:rsidRPr="00217006">
            <w:rPr>
              <w:rFonts w:ascii="Tahoma" w:eastAsia="Adobe Fan Heiti Std B" w:hAnsi="Tahoma" w:cs="Tahoma"/>
              <w:b/>
              <w:sz w:val="32"/>
              <w:szCs w:val="32"/>
            </w:rPr>
            <w:t>f</w:t>
          </w:r>
        </w:p>
        <w:p w14:paraId="7AAA9933" w14:textId="77777777" w:rsidR="001F4204" w:rsidRPr="00217006" w:rsidRDefault="001F4204" w:rsidP="005330DF">
          <w:pPr>
            <w:spacing w:line="120" w:lineRule="atLeast"/>
            <w:jc w:val="center"/>
            <w:rPr>
              <w:rFonts w:ascii="Tahoma" w:eastAsia="Adobe Fan Heiti Std B" w:hAnsi="Tahoma" w:cs="Tahoma"/>
              <w:b/>
              <w:sz w:val="32"/>
              <w:szCs w:val="32"/>
            </w:rPr>
          </w:pPr>
          <w:r w:rsidRPr="00BC7757">
            <w:rPr>
              <w:rFonts w:ascii="Tahoma" w:eastAsia="Adobe Fan Heiti Std B" w:hAnsi="Tahoma" w:cs="Tahoma"/>
              <w:b/>
              <w:sz w:val="36"/>
              <w:szCs w:val="36"/>
            </w:rPr>
            <w:t>E</w:t>
          </w:r>
          <w:r w:rsidR="002F5A54" w:rsidRPr="00217006">
            <w:rPr>
              <w:rFonts w:ascii="Tahoma" w:eastAsia="Adobe Fan Heiti Std B" w:hAnsi="Tahoma" w:cs="Tahoma"/>
              <w:b/>
              <w:sz w:val="32"/>
              <w:szCs w:val="32"/>
            </w:rPr>
            <w:t>nvironmental</w:t>
          </w:r>
          <w:r w:rsidRPr="00217006">
            <w:rPr>
              <w:rFonts w:ascii="Tahoma" w:eastAsia="Adobe Fan Heiti Std B" w:hAnsi="Tahoma" w:cs="Tahoma"/>
              <w:b/>
              <w:sz w:val="32"/>
              <w:szCs w:val="32"/>
            </w:rPr>
            <w:t xml:space="preserve"> </w:t>
          </w:r>
          <w:r w:rsidRPr="00BC7757">
            <w:rPr>
              <w:rFonts w:ascii="Tahoma" w:eastAsia="Adobe Fan Heiti Std B" w:hAnsi="Tahoma" w:cs="Tahoma"/>
              <w:b/>
              <w:sz w:val="36"/>
              <w:szCs w:val="36"/>
            </w:rPr>
            <w:t>P</w:t>
          </w:r>
          <w:r w:rsidR="002F5A54" w:rsidRPr="00217006">
            <w:rPr>
              <w:rFonts w:ascii="Tahoma" w:eastAsia="Adobe Fan Heiti Std B" w:hAnsi="Tahoma" w:cs="Tahoma"/>
              <w:b/>
              <w:sz w:val="32"/>
              <w:szCs w:val="32"/>
            </w:rPr>
            <w:t>rotection</w:t>
          </w:r>
        </w:p>
        <w:p w14:paraId="7DC4432B" w14:textId="77777777" w:rsidR="001F4204" w:rsidRPr="00AB411A" w:rsidRDefault="001F4204" w:rsidP="005330DF">
          <w:pPr>
            <w:spacing w:line="220" w:lineRule="exact"/>
            <w:jc w:val="center"/>
            <w:rPr>
              <w:rFonts w:ascii="Tahoma" w:eastAsia="Adobe Fan Heiti Std B" w:hAnsi="Tahoma" w:cs="Tahoma"/>
              <w:b/>
            </w:rPr>
          </w:pPr>
        </w:p>
        <w:p w14:paraId="6D51BC62" w14:textId="77777777" w:rsidR="001F4204" w:rsidRPr="007637F8" w:rsidRDefault="001F4204" w:rsidP="005330DF">
          <w:pPr>
            <w:jc w:val="center"/>
            <w:rPr>
              <w:rFonts w:ascii="Lucida Sans" w:eastAsia="Adobe Fan Heiti Std B" w:hAnsi="Lucida Sans"/>
              <w:sz w:val="22"/>
              <w:szCs w:val="22"/>
            </w:rPr>
          </w:pPr>
          <w:r w:rsidRPr="007637F8">
            <w:rPr>
              <w:rFonts w:ascii="Tahoma" w:eastAsia="Adobe Fan Heiti Std B" w:hAnsi="Tahoma" w:cs="Tahoma"/>
              <w:sz w:val="22"/>
              <w:szCs w:val="22"/>
            </w:rPr>
            <w:fldChar w:fldCharType="begin"/>
          </w:r>
          <w:r w:rsidRPr="007637F8">
            <w:rPr>
              <w:rFonts w:ascii="Tahoma" w:eastAsia="Adobe Fan Heiti Std B" w:hAnsi="Tahoma" w:cs="Tahoma"/>
              <w:sz w:val="22"/>
              <w:szCs w:val="22"/>
            </w:rPr>
            <w:instrText xml:space="preserve"> FILLIN  "Enter Address"  \* MERGEFORMAT </w:instrText>
          </w:r>
          <w:r w:rsidRPr="007637F8">
            <w:rPr>
              <w:rFonts w:ascii="Tahoma" w:eastAsia="Adobe Fan Heiti Std B" w:hAnsi="Tahoma" w:cs="Tahoma"/>
              <w:sz w:val="22"/>
              <w:szCs w:val="22"/>
            </w:rPr>
            <w:fldChar w:fldCharType="separate"/>
          </w:r>
          <w:r w:rsidR="00D97410">
            <w:rPr>
              <w:rFonts w:ascii="Tahoma" w:eastAsia="Adobe Fan Heiti Std B" w:hAnsi="Tahoma" w:cs="Tahoma"/>
              <w:sz w:val="22"/>
              <w:szCs w:val="22"/>
            </w:rPr>
            <w:t>Marjory Stoneman Douglas Building</w:t>
          </w:r>
          <w:r w:rsidR="00D97410">
            <w:rPr>
              <w:rFonts w:ascii="Tahoma" w:eastAsia="Adobe Fan Heiti Std B" w:hAnsi="Tahoma" w:cs="Tahoma"/>
              <w:sz w:val="22"/>
              <w:szCs w:val="22"/>
            </w:rPr>
            <w:br/>
            <w:t>3900 Commonwealth Boulevard</w:t>
          </w:r>
          <w:r w:rsidR="00D97410">
            <w:rPr>
              <w:rFonts w:ascii="Tahoma" w:eastAsia="Adobe Fan Heiti Std B" w:hAnsi="Tahoma" w:cs="Tahoma"/>
              <w:sz w:val="22"/>
              <w:szCs w:val="22"/>
            </w:rPr>
            <w:br/>
            <w:t>Tallahassee, Florida 32399-3000</w:t>
          </w:r>
          <w:r w:rsidRPr="007637F8">
            <w:rPr>
              <w:rFonts w:ascii="Tahoma" w:eastAsia="Adobe Fan Heiti Std B" w:hAnsi="Tahoma" w:cs="Tahoma"/>
              <w:sz w:val="22"/>
              <w:szCs w:val="22"/>
            </w:rPr>
            <w:fldChar w:fldCharType="end"/>
          </w:r>
        </w:p>
      </w:tc>
      <w:tc>
        <w:tcPr>
          <w:tcW w:w="2520" w:type="dxa"/>
        </w:tcPr>
        <w:p w14:paraId="73B4EDDD" w14:textId="77777777" w:rsidR="001F4204" w:rsidRPr="00AB411A" w:rsidRDefault="001F4204" w:rsidP="00463DB6">
          <w:pPr>
            <w:jc w:val="right"/>
            <w:rPr>
              <w:rFonts w:ascii="Tahoma" w:eastAsia="Adobe Fan Heiti Std B" w:hAnsi="Tahoma" w:cs="Tahoma"/>
              <w:sz w:val="22"/>
              <w:szCs w:val="22"/>
            </w:rPr>
          </w:pPr>
          <w:r w:rsidRPr="00AB411A">
            <w:rPr>
              <w:rFonts w:ascii="Tahoma" w:eastAsia="Adobe Fan Heiti Std B" w:hAnsi="Tahoma" w:cs="Tahoma"/>
              <w:sz w:val="22"/>
              <w:szCs w:val="22"/>
            </w:rPr>
            <w:t>R</w:t>
          </w:r>
          <w:r w:rsidR="002F5A54" w:rsidRPr="00AB411A">
            <w:rPr>
              <w:rFonts w:ascii="Tahoma" w:eastAsia="Adobe Fan Heiti Std B" w:hAnsi="Tahoma" w:cs="Tahoma"/>
              <w:sz w:val="22"/>
              <w:szCs w:val="22"/>
            </w:rPr>
            <w:t>ick</w:t>
          </w:r>
          <w:r w:rsidRPr="00AB411A">
            <w:rPr>
              <w:rFonts w:ascii="Tahoma" w:eastAsia="Adobe Fan Heiti Std B" w:hAnsi="Tahoma" w:cs="Tahoma"/>
              <w:sz w:val="22"/>
              <w:szCs w:val="22"/>
            </w:rPr>
            <w:t xml:space="preserve"> S</w:t>
          </w:r>
          <w:r w:rsidR="002F5A54" w:rsidRPr="00AB411A">
            <w:rPr>
              <w:rFonts w:ascii="Tahoma" w:eastAsia="Adobe Fan Heiti Std B" w:hAnsi="Tahoma" w:cs="Tahoma"/>
              <w:sz w:val="22"/>
              <w:szCs w:val="22"/>
            </w:rPr>
            <w:t>cott</w:t>
          </w:r>
        </w:p>
        <w:p w14:paraId="7F1637A2" w14:textId="77777777" w:rsidR="001F4204" w:rsidRPr="00AB411A" w:rsidRDefault="001F4204" w:rsidP="007637F8">
          <w:pPr>
            <w:spacing w:line="200" w:lineRule="exact"/>
            <w:jc w:val="right"/>
            <w:rPr>
              <w:rFonts w:ascii="Tahoma" w:eastAsia="Adobe Fan Heiti Std B" w:hAnsi="Tahoma" w:cs="Tahoma"/>
              <w:sz w:val="22"/>
              <w:szCs w:val="22"/>
            </w:rPr>
          </w:pPr>
          <w:r w:rsidRPr="00AB411A">
            <w:rPr>
              <w:rFonts w:ascii="Tahoma" w:eastAsia="Adobe Fan Heiti Std B" w:hAnsi="Tahoma" w:cs="Tahoma"/>
              <w:sz w:val="22"/>
              <w:szCs w:val="22"/>
            </w:rPr>
            <w:t>G</w:t>
          </w:r>
          <w:r w:rsidR="002F5A54" w:rsidRPr="00AB411A">
            <w:rPr>
              <w:rFonts w:ascii="Tahoma" w:eastAsia="Adobe Fan Heiti Std B" w:hAnsi="Tahoma" w:cs="Tahoma"/>
              <w:sz w:val="22"/>
              <w:szCs w:val="22"/>
            </w:rPr>
            <w:t>overnor</w:t>
          </w:r>
        </w:p>
        <w:p w14:paraId="126147E7" w14:textId="77777777" w:rsidR="001F4204" w:rsidRPr="00AB411A" w:rsidRDefault="001F4204" w:rsidP="00463DB6">
          <w:pPr>
            <w:jc w:val="right"/>
            <w:rPr>
              <w:rFonts w:ascii="Tahoma" w:eastAsia="Adobe Fan Heiti Std B" w:hAnsi="Tahoma" w:cs="Tahoma"/>
              <w:sz w:val="22"/>
              <w:szCs w:val="22"/>
            </w:rPr>
          </w:pPr>
        </w:p>
        <w:p w14:paraId="39101ABF" w14:textId="77777777" w:rsidR="001F4204" w:rsidRPr="00AB411A" w:rsidRDefault="00BA2F64" w:rsidP="00463DB6">
          <w:pPr>
            <w:jc w:val="right"/>
            <w:rPr>
              <w:rFonts w:ascii="Tahoma" w:eastAsia="Adobe Fan Heiti Std B" w:hAnsi="Tahoma" w:cs="Tahoma"/>
              <w:sz w:val="22"/>
              <w:szCs w:val="22"/>
            </w:rPr>
          </w:pPr>
          <w:r w:rsidRPr="00AB411A">
            <w:rPr>
              <w:rFonts w:ascii="Tahoma" w:eastAsia="Adobe Fan Heiti Std B" w:hAnsi="Tahoma" w:cs="Tahoma"/>
              <w:sz w:val="22"/>
              <w:szCs w:val="22"/>
            </w:rPr>
            <w:t>C</w:t>
          </w:r>
          <w:r w:rsidR="002F5A54" w:rsidRPr="00AB411A">
            <w:rPr>
              <w:rFonts w:ascii="Tahoma" w:eastAsia="Adobe Fan Heiti Std B" w:hAnsi="Tahoma" w:cs="Tahoma"/>
              <w:sz w:val="22"/>
              <w:szCs w:val="22"/>
            </w:rPr>
            <w:t>arlos</w:t>
          </w:r>
          <w:r w:rsidRPr="00AB411A">
            <w:rPr>
              <w:rFonts w:ascii="Tahoma" w:eastAsia="Adobe Fan Heiti Std B" w:hAnsi="Tahoma" w:cs="Tahoma"/>
              <w:sz w:val="22"/>
              <w:szCs w:val="22"/>
            </w:rPr>
            <w:t xml:space="preserve"> L</w:t>
          </w:r>
          <w:r w:rsidR="002F5A54" w:rsidRPr="00AB411A">
            <w:rPr>
              <w:rFonts w:ascii="Tahoma" w:eastAsia="Adobe Fan Heiti Std B" w:hAnsi="Tahoma" w:cs="Tahoma"/>
              <w:sz w:val="22"/>
              <w:szCs w:val="22"/>
            </w:rPr>
            <w:t>opez</w:t>
          </w:r>
          <w:r w:rsidRPr="00AB411A">
            <w:rPr>
              <w:rFonts w:ascii="Tahoma" w:eastAsia="Adobe Fan Heiti Std B" w:hAnsi="Tahoma" w:cs="Tahoma"/>
              <w:sz w:val="22"/>
              <w:szCs w:val="22"/>
            </w:rPr>
            <w:t>-C</w:t>
          </w:r>
          <w:r w:rsidR="002F5A54" w:rsidRPr="00AB411A">
            <w:rPr>
              <w:rFonts w:ascii="Tahoma" w:eastAsia="Adobe Fan Heiti Std B" w:hAnsi="Tahoma" w:cs="Tahoma"/>
              <w:sz w:val="22"/>
              <w:szCs w:val="22"/>
            </w:rPr>
            <w:t>antera</w:t>
          </w:r>
          <w:r w:rsidRPr="00AB411A">
            <w:rPr>
              <w:rFonts w:ascii="Tahoma" w:eastAsia="Adobe Fan Heiti Std B" w:hAnsi="Tahoma" w:cs="Tahoma"/>
              <w:sz w:val="22"/>
              <w:szCs w:val="22"/>
            </w:rPr>
            <w:br/>
          </w:r>
          <w:r w:rsidR="001F4204" w:rsidRPr="00AB411A">
            <w:rPr>
              <w:rFonts w:ascii="Tahoma" w:eastAsia="Adobe Fan Heiti Std B" w:hAnsi="Tahoma" w:cs="Tahoma"/>
              <w:sz w:val="22"/>
              <w:szCs w:val="22"/>
            </w:rPr>
            <w:t>L</w:t>
          </w:r>
          <w:r w:rsidR="002F5A54" w:rsidRPr="00AB411A">
            <w:rPr>
              <w:rFonts w:ascii="Tahoma" w:eastAsia="Adobe Fan Heiti Std B" w:hAnsi="Tahoma" w:cs="Tahoma"/>
              <w:sz w:val="22"/>
              <w:szCs w:val="22"/>
            </w:rPr>
            <w:t>t</w:t>
          </w:r>
          <w:r w:rsidR="001F4204" w:rsidRPr="00AB411A">
            <w:rPr>
              <w:rFonts w:ascii="Tahoma" w:eastAsia="Adobe Fan Heiti Std B" w:hAnsi="Tahoma" w:cs="Tahoma"/>
              <w:sz w:val="22"/>
              <w:szCs w:val="22"/>
            </w:rPr>
            <w:t>. G</w:t>
          </w:r>
          <w:r w:rsidR="002F5A54" w:rsidRPr="00AB411A">
            <w:rPr>
              <w:rFonts w:ascii="Tahoma" w:eastAsia="Adobe Fan Heiti Std B" w:hAnsi="Tahoma" w:cs="Tahoma"/>
              <w:sz w:val="22"/>
              <w:szCs w:val="22"/>
            </w:rPr>
            <w:t>overnor</w:t>
          </w:r>
        </w:p>
        <w:p w14:paraId="39DEE336" w14:textId="77777777" w:rsidR="001F4204" w:rsidRPr="00AB411A" w:rsidRDefault="001F4204" w:rsidP="00463DB6">
          <w:pPr>
            <w:jc w:val="right"/>
            <w:rPr>
              <w:rFonts w:ascii="Tahoma" w:eastAsia="Adobe Fan Heiti Std B" w:hAnsi="Tahoma" w:cs="Tahoma"/>
              <w:sz w:val="22"/>
              <w:szCs w:val="22"/>
            </w:rPr>
          </w:pPr>
        </w:p>
        <w:p w14:paraId="36BF4F95" w14:textId="77777777" w:rsidR="001F4204" w:rsidRPr="00AB411A" w:rsidRDefault="000D073A" w:rsidP="00B13952">
          <w:pPr>
            <w:jc w:val="right"/>
            <w:rPr>
              <w:rFonts w:ascii="Tahoma" w:eastAsia="Adobe Fan Heiti Std B" w:hAnsi="Tahoma" w:cs="Tahoma"/>
              <w:sz w:val="22"/>
              <w:szCs w:val="22"/>
            </w:rPr>
          </w:pPr>
          <w:r>
            <w:rPr>
              <w:rFonts w:ascii="Tahoma" w:eastAsia="Adobe Fan Heiti Std B" w:hAnsi="Tahoma" w:cs="Tahoma"/>
              <w:sz w:val="22"/>
              <w:szCs w:val="22"/>
            </w:rPr>
            <w:t>Noah Valenstein</w:t>
          </w:r>
        </w:p>
        <w:p w14:paraId="645CCD1C" w14:textId="77777777" w:rsidR="001F4204" w:rsidRPr="00776F3E" w:rsidRDefault="001F4204" w:rsidP="002F5A54">
          <w:pPr>
            <w:jc w:val="right"/>
            <w:rPr>
              <w:rFonts w:ascii="Lucida Sans" w:eastAsia="Adobe Fan Heiti Std B" w:hAnsi="Lucida Sans"/>
              <w:color w:val="006666"/>
              <w:sz w:val="20"/>
              <w:szCs w:val="20"/>
            </w:rPr>
          </w:pPr>
          <w:r w:rsidRPr="00AB411A">
            <w:rPr>
              <w:rFonts w:ascii="Tahoma" w:eastAsia="Adobe Fan Heiti Std B" w:hAnsi="Tahoma" w:cs="Tahoma"/>
              <w:sz w:val="22"/>
              <w:szCs w:val="22"/>
            </w:rPr>
            <w:t>S</w:t>
          </w:r>
          <w:r w:rsidR="002F5A54" w:rsidRPr="00AB411A">
            <w:rPr>
              <w:rFonts w:ascii="Tahoma" w:eastAsia="Adobe Fan Heiti Std B" w:hAnsi="Tahoma" w:cs="Tahoma"/>
              <w:sz w:val="22"/>
              <w:szCs w:val="22"/>
            </w:rPr>
            <w:t>ecretary</w:t>
          </w:r>
        </w:p>
      </w:tc>
    </w:tr>
  </w:tbl>
  <w:p w14:paraId="3EFCAA91" w14:textId="77777777" w:rsidR="002F5A54" w:rsidRPr="00D44B51" w:rsidRDefault="002F5A54">
    <w:pPr>
      <w:pStyle w:val="Header"/>
      <w:rPr>
        <w:rFonts w:asciiTheme="minorHAnsi" w:hAnsiTheme="minorHAns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D80"/>
    <w:rsid w:val="00013E9C"/>
    <w:rsid w:val="00054353"/>
    <w:rsid w:val="00063B1E"/>
    <w:rsid w:val="00073BB2"/>
    <w:rsid w:val="000A6CC3"/>
    <w:rsid w:val="000D073A"/>
    <w:rsid w:val="000D131E"/>
    <w:rsid w:val="000D6C6A"/>
    <w:rsid w:val="000F5650"/>
    <w:rsid w:val="0018420A"/>
    <w:rsid w:val="001A7D80"/>
    <w:rsid w:val="001C5148"/>
    <w:rsid w:val="001F4204"/>
    <w:rsid w:val="00203038"/>
    <w:rsid w:val="002068F6"/>
    <w:rsid w:val="00217006"/>
    <w:rsid w:val="00224C76"/>
    <w:rsid w:val="002535E1"/>
    <w:rsid w:val="0025632E"/>
    <w:rsid w:val="00273B80"/>
    <w:rsid w:val="002C0875"/>
    <w:rsid w:val="002C6397"/>
    <w:rsid w:val="002E0682"/>
    <w:rsid w:val="002E539C"/>
    <w:rsid w:val="002F2ED6"/>
    <w:rsid w:val="002F5A54"/>
    <w:rsid w:val="003143EB"/>
    <w:rsid w:val="003C6F11"/>
    <w:rsid w:val="003E0B71"/>
    <w:rsid w:val="003F1C9C"/>
    <w:rsid w:val="00407C92"/>
    <w:rsid w:val="004151C8"/>
    <w:rsid w:val="004341E2"/>
    <w:rsid w:val="00463DB6"/>
    <w:rsid w:val="004A15F8"/>
    <w:rsid w:val="004D65A3"/>
    <w:rsid w:val="00506D25"/>
    <w:rsid w:val="00522659"/>
    <w:rsid w:val="00522B73"/>
    <w:rsid w:val="00526114"/>
    <w:rsid w:val="00530E5C"/>
    <w:rsid w:val="005330DF"/>
    <w:rsid w:val="00537AFA"/>
    <w:rsid w:val="005463C8"/>
    <w:rsid w:val="0054687B"/>
    <w:rsid w:val="0057194F"/>
    <w:rsid w:val="005D7B0A"/>
    <w:rsid w:val="005E5D85"/>
    <w:rsid w:val="005F4804"/>
    <w:rsid w:val="00601CEB"/>
    <w:rsid w:val="0060739C"/>
    <w:rsid w:val="00623EAB"/>
    <w:rsid w:val="006242DB"/>
    <w:rsid w:val="00640E0E"/>
    <w:rsid w:val="006452E5"/>
    <w:rsid w:val="006B188A"/>
    <w:rsid w:val="006B3750"/>
    <w:rsid w:val="006D3C8D"/>
    <w:rsid w:val="006F6427"/>
    <w:rsid w:val="0072764E"/>
    <w:rsid w:val="007278AC"/>
    <w:rsid w:val="007637F8"/>
    <w:rsid w:val="007658EF"/>
    <w:rsid w:val="007668A5"/>
    <w:rsid w:val="0077172B"/>
    <w:rsid w:val="00776F3E"/>
    <w:rsid w:val="007856A2"/>
    <w:rsid w:val="0079134C"/>
    <w:rsid w:val="00794059"/>
    <w:rsid w:val="007A2DFB"/>
    <w:rsid w:val="007C01F0"/>
    <w:rsid w:val="007E0CE4"/>
    <w:rsid w:val="007F3EDE"/>
    <w:rsid w:val="007F7F76"/>
    <w:rsid w:val="0086124F"/>
    <w:rsid w:val="0087789E"/>
    <w:rsid w:val="008E3135"/>
    <w:rsid w:val="008E3811"/>
    <w:rsid w:val="008F1077"/>
    <w:rsid w:val="00902FCC"/>
    <w:rsid w:val="00923E08"/>
    <w:rsid w:val="0092650D"/>
    <w:rsid w:val="00984C4B"/>
    <w:rsid w:val="009855D0"/>
    <w:rsid w:val="00986C66"/>
    <w:rsid w:val="009B10F9"/>
    <w:rsid w:val="009B644C"/>
    <w:rsid w:val="009D58DD"/>
    <w:rsid w:val="009E762C"/>
    <w:rsid w:val="009F218F"/>
    <w:rsid w:val="00A609DB"/>
    <w:rsid w:val="00AB411A"/>
    <w:rsid w:val="00AC2B22"/>
    <w:rsid w:val="00B11B59"/>
    <w:rsid w:val="00B13952"/>
    <w:rsid w:val="00B42111"/>
    <w:rsid w:val="00B97A97"/>
    <w:rsid w:val="00BA2F64"/>
    <w:rsid w:val="00BC200C"/>
    <w:rsid w:val="00BC7757"/>
    <w:rsid w:val="00BC78D8"/>
    <w:rsid w:val="00BD4910"/>
    <w:rsid w:val="00BE0419"/>
    <w:rsid w:val="00BE76B7"/>
    <w:rsid w:val="00C251BD"/>
    <w:rsid w:val="00C37D41"/>
    <w:rsid w:val="00C6314E"/>
    <w:rsid w:val="00C77D62"/>
    <w:rsid w:val="00CA0485"/>
    <w:rsid w:val="00CA5B7D"/>
    <w:rsid w:val="00CE09EF"/>
    <w:rsid w:val="00CE620B"/>
    <w:rsid w:val="00D16369"/>
    <w:rsid w:val="00D2065F"/>
    <w:rsid w:val="00D22D0A"/>
    <w:rsid w:val="00D40515"/>
    <w:rsid w:val="00D44B51"/>
    <w:rsid w:val="00D50E1F"/>
    <w:rsid w:val="00D97410"/>
    <w:rsid w:val="00DA2C60"/>
    <w:rsid w:val="00DC1D58"/>
    <w:rsid w:val="00DD3C63"/>
    <w:rsid w:val="00DD4885"/>
    <w:rsid w:val="00E11DE6"/>
    <w:rsid w:val="00E46322"/>
    <w:rsid w:val="00E56E83"/>
    <w:rsid w:val="00E74E50"/>
    <w:rsid w:val="00E85E5F"/>
    <w:rsid w:val="00F07175"/>
    <w:rsid w:val="00F1341E"/>
    <w:rsid w:val="00F15D77"/>
    <w:rsid w:val="00F31975"/>
    <w:rsid w:val="00F401A3"/>
    <w:rsid w:val="00F54A76"/>
    <w:rsid w:val="00FA3AF7"/>
    <w:rsid w:val="00FB7A52"/>
    <w:rsid w:val="00FF0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1983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A7D80"/>
    <w:pPr>
      <w:tabs>
        <w:tab w:val="center" w:pos="4320"/>
        <w:tab w:val="right" w:pos="8640"/>
      </w:tabs>
    </w:pPr>
  </w:style>
  <w:style w:type="paragraph" w:styleId="Footer">
    <w:name w:val="footer"/>
    <w:basedOn w:val="Normal"/>
    <w:link w:val="FooterChar"/>
    <w:uiPriority w:val="99"/>
    <w:rsid w:val="001A7D80"/>
    <w:pPr>
      <w:tabs>
        <w:tab w:val="center" w:pos="4320"/>
        <w:tab w:val="right" w:pos="8640"/>
      </w:tabs>
    </w:pPr>
  </w:style>
  <w:style w:type="paragraph" w:styleId="BalloonText">
    <w:name w:val="Balloon Text"/>
    <w:basedOn w:val="Normal"/>
    <w:link w:val="BalloonTextChar"/>
    <w:rsid w:val="00776F3E"/>
    <w:rPr>
      <w:rFonts w:ascii="Segoe UI" w:hAnsi="Segoe UI" w:cs="Segoe UI"/>
      <w:sz w:val="18"/>
      <w:szCs w:val="18"/>
    </w:rPr>
  </w:style>
  <w:style w:type="character" w:customStyle="1" w:styleId="BalloonTextChar">
    <w:name w:val="Balloon Text Char"/>
    <w:basedOn w:val="DefaultParagraphFont"/>
    <w:link w:val="BalloonText"/>
    <w:rsid w:val="00776F3E"/>
    <w:rPr>
      <w:rFonts w:ascii="Segoe UI" w:hAnsi="Segoe UI" w:cs="Segoe UI"/>
      <w:sz w:val="18"/>
      <w:szCs w:val="18"/>
    </w:rPr>
  </w:style>
  <w:style w:type="character" w:customStyle="1" w:styleId="FooterChar">
    <w:name w:val="Footer Char"/>
    <w:basedOn w:val="DefaultParagraphFont"/>
    <w:link w:val="Footer"/>
    <w:uiPriority w:val="99"/>
    <w:rsid w:val="009F218F"/>
    <w:rPr>
      <w:sz w:val="24"/>
      <w:szCs w:val="24"/>
    </w:rPr>
  </w:style>
  <w:style w:type="character" w:styleId="Hyperlink">
    <w:name w:val="Hyperlink"/>
    <w:basedOn w:val="DefaultParagraphFont"/>
    <w:rsid w:val="00F401A3"/>
    <w:rPr>
      <w:color w:val="0563C1" w:themeColor="hyperlink"/>
      <w:u w:val="single"/>
    </w:rPr>
  </w:style>
  <w:style w:type="paragraph" w:customStyle="1" w:styleId="Default">
    <w:name w:val="Default"/>
    <w:rsid w:val="00D22D0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F5E4E-FEFB-4325-8D28-63A431430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435</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2017-12-11T15:41:00Z</dcterms:created>
  <dcterms:modified xsi:type="dcterms:W3CDTF">2017-12-11T15:41:00Z</dcterms:modified>
</cp:coreProperties>
</file>