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B7" w:rsidRPr="0074712B" w:rsidRDefault="00E879B7" w:rsidP="00B60C7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4712B">
        <w:rPr>
          <w:rFonts w:ascii="Arial" w:hAnsi="Arial" w:cs="Arial"/>
          <w:b/>
          <w:sz w:val="20"/>
          <w:szCs w:val="20"/>
        </w:rPr>
        <w:t>Guidance Document G</w:t>
      </w:r>
    </w:p>
    <w:p w:rsidR="00682A4F" w:rsidRPr="0074712B" w:rsidRDefault="00E53FA2" w:rsidP="00B60C7C">
      <w:pPr>
        <w:jc w:val="center"/>
        <w:rPr>
          <w:rFonts w:ascii="Arial" w:hAnsi="Arial" w:cs="Arial"/>
          <w:b/>
          <w:sz w:val="20"/>
          <w:szCs w:val="20"/>
        </w:rPr>
      </w:pPr>
      <w:r w:rsidRPr="0074712B">
        <w:rPr>
          <w:rFonts w:ascii="Arial" w:hAnsi="Arial" w:cs="Arial"/>
          <w:b/>
          <w:sz w:val="20"/>
          <w:szCs w:val="20"/>
        </w:rPr>
        <w:t>Guidelines for Case Referrals</w:t>
      </w:r>
    </w:p>
    <w:p w:rsidR="00682A4F" w:rsidRPr="0074712B" w:rsidRDefault="00682A4F" w:rsidP="00B60C7C">
      <w:pPr>
        <w:rPr>
          <w:rFonts w:ascii="Arial" w:hAnsi="Arial" w:cs="Arial"/>
          <w:sz w:val="20"/>
          <w:szCs w:val="20"/>
        </w:rPr>
      </w:pPr>
    </w:p>
    <w:p w:rsidR="00B60C7C" w:rsidRPr="0074712B" w:rsidRDefault="00B60C7C" w:rsidP="00630308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74712B">
        <w:rPr>
          <w:rFonts w:ascii="Arial" w:hAnsi="Arial" w:cs="Arial"/>
          <w:color w:val="000000"/>
          <w:sz w:val="20"/>
          <w:szCs w:val="20"/>
        </w:rPr>
        <w:t xml:space="preserve">In accordance with </w:t>
      </w:r>
      <w:r w:rsidR="00C82985" w:rsidRPr="0074712B">
        <w:rPr>
          <w:rFonts w:ascii="Arial" w:hAnsi="Arial" w:cs="Arial"/>
          <w:color w:val="000000"/>
          <w:sz w:val="20"/>
          <w:szCs w:val="20"/>
        </w:rPr>
        <w:t>the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 Level of Effort Guidance</w:t>
      </w:r>
      <w:r w:rsidR="00C82985" w:rsidRPr="0074712B">
        <w:rPr>
          <w:rFonts w:ascii="Arial" w:hAnsi="Arial" w:cs="Arial"/>
          <w:color w:val="000000"/>
          <w:sz w:val="20"/>
          <w:szCs w:val="20"/>
        </w:rPr>
        <w:t xml:space="preserve"> (Guidance Document F)</w:t>
      </w:r>
      <w:r w:rsidRPr="0074712B">
        <w:rPr>
          <w:rFonts w:ascii="Arial" w:hAnsi="Arial" w:cs="Arial"/>
          <w:color w:val="000000"/>
          <w:sz w:val="20"/>
          <w:szCs w:val="20"/>
        </w:rPr>
        <w:t>, the CONTRACTOR shall refer facilities to the Department if the facilities don’t timely return to compliance through efforts by the CONTRACTOR.</w:t>
      </w:r>
      <w:r w:rsidRPr="0074712B">
        <w:rPr>
          <w:rFonts w:ascii="Arial" w:hAnsi="Arial" w:cs="Arial"/>
          <w:color w:val="000000"/>
          <w:sz w:val="20"/>
          <w:szCs w:val="20"/>
        </w:rPr>
        <w:br/>
      </w:r>
    </w:p>
    <w:p w:rsidR="00B60C7C" w:rsidRPr="0074712B" w:rsidRDefault="00B60C7C" w:rsidP="00630308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74712B">
        <w:rPr>
          <w:rFonts w:ascii="Arial" w:hAnsi="Arial" w:cs="Arial"/>
          <w:color w:val="000000"/>
          <w:sz w:val="20"/>
          <w:szCs w:val="20"/>
        </w:rPr>
        <w:t xml:space="preserve">The CONTRACTOR shall refer facilities as necessary to the Department through the Enforcement Referral Activities tab within the Enforcement Project in FIRST </w:t>
      </w:r>
      <w:r w:rsidRPr="0074712B">
        <w:rPr>
          <w:rFonts w:ascii="Arial" w:hAnsi="Arial" w:cs="Arial"/>
          <w:color w:val="000000"/>
          <w:sz w:val="20"/>
          <w:szCs w:val="20"/>
        </w:rPr>
        <w:br/>
      </w:r>
    </w:p>
    <w:p w:rsidR="00D66DE0" w:rsidRPr="0074712B" w:rsidRDefault="00D66DE0" w:rsidP="00630308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74712B">
        <w:rPr>
          <w:rFonts w:ascii="Arial" w:hAnsi="Arial" w:cs="Arial"/>
          <w:color w:val="000000"/>
          <w:sz w:val="20"/>
          <w:szCs w:val="20"/>
        </w:rPr>
        <w:t xml:space="preserve">In addition, the CONTRACTOR shall prepare a </w:t>
      </w:r>
      <w:r w:rsidR="00682A4F" w:rsidRPr="0074712B">
        <w:rPr>
          <w:rFonts w:ascii="Arial" w:hAnsi="Arial" w:cs="Arial"/>
          <w:color w:val="000000"/>
          <w:sz w:val="20"/>
          <w:szCs w:val="20"/>
        </w:rPr>
        <w:t xml:space="preserve">memorandum to the </w:t>
      </w:r>
      <w:r w:rsidR="00C82985" w:rsidRPr="0074712B">
        <w:rPr>
          <w:rFonts w:ascii="Arial" w:hAnsi="Arial" w:cs="Arial"/>
          <w:color w:val="000000"/>
          <w:sz w:val="20"/>
          <w:szCs w:val="20"/>
        </w:rPr>
        <w:t xml:space="preserve">DEP 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Task </w:t>
      </w:r>
      <w:r w:rsidR="00682A4F" w:rsidRPr="0074712B">
        <w:rPr>
          <w:rFonts w:ascii="Arial" w:hAnsi="Arial" w:cs="Arial"/>
          <w:color w:val="000000"/>
          <w:sz w:val="20"/>
          <w:szCs w:val="20"/>
        </w:rPr>
        <w:t xml:space="preserve">Manager stating that 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the CONTRACTOR is </w:t>
      </w:r>
      <w:r w:rsidR="00682A4F" w:rsidRPr="0074712B">
        <w:rPr>
          <w:rFonts w:ascii="Arial" w:hAnsi="Arial" w:cs="Arial"/>
          <w:color w:val="000000"/>
          <w:sz w:val="20"/>
          <w:szCs w:val="20"/>
        </w:rPr>
        <w:t>referring the case for enforcement.  The memorandum should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 be inserted as an attachment within the </w:t>
      </w:r>
      <w:r w:rsidR="00F1767E" w:rsidRPr="0074712B">
        <w:rPr>
          <w:rFonts w:ascii="Arial" w:hAnsi="Arial" w:cs="Arial"/>
          <w:color w:val="000000"/>
          <w:sz w:val="20"/>
          <w:szCs w:val="20"/>
        </w:rPr>
        <w:t>Enforcement Referral Activity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 in FIRST.</w:t>
      </w:r>
      <w:r w:rsidRPr="0074712B">
        <w:rPr>
          <w:rFonts w:ascii="Arial" w:hAnsi="Arial" w:cs="Arial"/>
          <w:color w:val="000000"/>
          <w:sz w:val="20"/>
          <w:szCs w:val="20"/>
        </w:rPr>
        <w:br/>
      </w:r>
    </w:p>
    <w:p w:rsidR="00D66DE0" w:rsidRPr="0074712B" w:rsidRDefault="00D66DE0" w:rsidP="00630308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74712B">
        <w:rPr>
          <w:rFonts w:ascii="Arial" w:hAnsi="Arial" w:cs="Arial"/>
          <w:color w:val="000000"/>
          <w:sz w:val="20"/>
          <w:szCs w:val="20"/>
        </w:rPr>
        <w:t>The memorandum should include the following:</w:t>
      </w:r>
      <w:r w:rsidRPr="0074712B">
        <w:rPr>
          <w:rFonts w:ascii="Arial" w:hAnsi="Arial" w:cs="Arial"/>
          <w:color w:val="000000"/>
          <w:sz w:val="20"/>
          <w:szCs w:val="20"/>
        </w:rPr>
        <w:br/>
      </w:r>
    </w:p>
    <w:p w:rsidR="00682A4F" w:rsidRPr="0074712B" w:rsidRDefault="0019334D" w:rsidP="00630308">
      <w:pPr>
        <w:numPr>
          <w:ilvl w:val="0"/>
          <w:numId w:val="4"/>
        </w:numPr>
        <w:autoSpaceDE w:val="0"/>
        <w:autoSpaceDN w:val="0"/>
        <w:adjustRightInd w:val="0"/>
        <w:spacing w:before="60"/>
        <w:ind w:hanging="450"/>
        <w:rPr>
          <w:rFonts w:ascii="Arial" w:hAnsi="Arial" w:cs="Arial"/>
          <w:strike/>
          <w:color w:val="000000"/>
          <w:sz w:val="20"/>
          <w:szCs w:val="20"/>
        </w:rPr>
      </w:pPr>
      <w:r w:rsidRPr="0074712B">
        <w:rPr>
          <w:rFonts w:ascii="Arial" w:hAnsi="Arial" w:cs="Arial"/>
          <w:color w:val="000000"/>
          <w:sz w:val="20"/>
          <w:szCs w:val="20"/>
        </w:rPr>
        <w:t xml:space="preserve">The facility name and DEP Facility </w:t>
      </w:r>
      <w:r w:rsidR="00C82985" w:rsidRPr="0074712B">
        <w:rPr>
          <w:rFonts w:ascii="Arial" w:hAnsi="Arial" w:cs="Arial"/>
          <w:color w:val="000000"/>
          <w:sz w:val="20"/>
          <w:szCs w:val="20"/>
        </w:rPr>
        <w:t xml:space="preserve">ID 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Number, </w:t>
      </w:r>
      <w:r w:rsidR="00682A4F" w:rsidRPr="0074712B">
        <w:rPr>
          <w:rFonts w:ascii="Arial" w:hAnsi="Arial" w:cs="Arial"/>
          <w:color w:val="000000"/>
          <w:sz w:val="20"/>
          <w:szCs w:val="20"/>
        </w:rPr>
        <w:t>and a short summary of the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 open</w:t>
      </w:r>
      <w:r w:rsidR="00682A4F" w:rsidRPr="0074712B">
        <w:rPr>
          <w:rFonts w:ascii="Arial" w:hAnsi="Arial" w:cs="Arial"/>
          <w:color w:val="000000"/>
          <w:sz w:val="20"/>
          <w:szCs w:val="20"/>
        </w:rPr>
        <w:t xml:space="preserve"> violations.  I</w:t>
      </w:r>
      <w:r w:rsidR="00682A4F" w:rsidRPr="0074712B">
        <w:rPr>
          <w:rFonts w:ascii="Arial" w:hAnsi="Arial" w:cs="Arial"/>
          <w:sz w:val="20"/>
          <w:szCs w:val="20"/>
        </w:rPr>
        <w:t xml:space="preserve">t should also name the staff that will available for questions, meetings, depositions, hearings, and other enforcement related activities.  </w:t>
      </w:r>
    </w:p>
    <w:p w:rsidR="00682A4F" w:rsidRPr="0074712B" w:rsidRDefault="00682A4F" w:rsidP="0063030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74712B">
        <w:rPr>
          <w:rFonts w:ascii="Arial" w:hAnsi="Arial" w:cs="Arial"/>
          <w:color w:val="000000"/>
          <w:sz w:val="20"/>
          <w:szCs w:val="20"/>
        </w:rPr>
        <w:t>A chronology of events leading to the referral.  The chronology should describe any attempts to resolve the non-compliance issues, including telephone logs and other pertinent correspondence between the County and the Responsible Part</w:t>
      </w:r>
      <w:r w:rsidR="0019334D" w:rsidRPr="0074712B">
        <w:rPr>
          <w:rFonts w:ascii="Arial" w:hAnsi="Arial" w:cs="Arial"/>
          <w:color w:val="000000"/>
          <w:sz w:val="20"/>
          <w:szCs w:val="20"/>
        </w:rPr>
        <w:t>ies</w:t>
      </w:r>
      <w:r w:rsidR="00630308" w:rsidRPr="0074712B">
        <w:rPr>
          <w:rFonts w:ascii="Arial" w:hAnsi="Arial" w:cs="Arial"/>
          <w:color w:val="000000"/>
          <w:sz w:val="20"/>
          <w:szCs w:val="20"/>
        </w:rPr>
        <w:t>.</w:t>
      </w:r>
    </w:p>
    <w:p w:rsidR="00682A4F" w:rsidRPr="0074712B" w:rsidRDefault="00682A4F" w:rsidP="0063030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74712B">
        <w:rPr>
          <w:rFonts w:ascii="Arial" w:hAnsi="Arial" w:cs="Arial"/>
          <w:color w:val="000000"/>
          <w:sz w:val="20"/>
          <w:szCs w:val="20"/>
        </w:rPr>
        <w:t>Names, telephone numbers, e-mail address if known, and addresses of the RPs</w:t>
      </w:r>
      <w:r w:rsidR="00630308" w:rsidRPr="0074712B">
        <w:rPr>
          <w:rFonts w:ascii="Arial" w:hAnsi="Arial" w:cs="Arial"/>
          <w:color w:val="000000"/>
          <w:sz w:val="20"/>
          <w:szCs w:val="20"/>
        </w:rPr>
        <w:t>, l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inks to the county </w:t>
      </w:r>
      <w:r w:rsidR="0019334D" w:rsidRPr="0074712B">
        <w:rPr>
          <w:rFonts w:ascii="Arial" w:hAnsi="Arial" w:cs="Arial"/>
          <w:color w:val="000000"/>
          <w:sz w:val="20"/>
          <w:szCs w:val="20"/>
        </w:rPr>
        <w:t xml:space="preserve">property </w:t>
      </w:r>
      <w:r w:rsidRPr="0074712B">
        <w:rPr>
          <w:rFonts w:ascii="Arial" w:hAnsi="Arial" w:cs="Arial"/>
          <w:color w:val="000000"/>
          <w:sz w:val="20"/>
          <w:szCs w:val="20"/>
        </w:rPr>
        <w:t>appraiser’s office</w:t>
      </w:r>
      <w:r w:rsidR="0019334D" w:rsidRPr="0074712B">
        <w:rPr>
          <w:rFonts w:ascii="Arial" w:hAnsi="Arial" w:cs="Arial"/>
          <w:color w:val="000000"/>
          <w:sz w:val="20"/>
          <w:szCs w:val="20"/>
        </w:rPr>
        <w:t xml:space="preserve"> websites</w:t>
      </w:r>
      <w:r w:rsidRPr="0074712B">
        <w:rPr>
          <w:rFonts w:ascii="Arial" w:hAnsi="Arial" w:cs="Arial"/>
          <w:color w:val="000000"/>
          <w:sz w:val="20"/>
          <w:szCs w:val="20"/>
        </w:rPr>
        <w:t>, the clerk of the courts office</w:t>
      </w:r>
      <w:r w:rsidR="0019334D" w:rsidRPr="0074712B">
        <w:rPr>
          <w:rFonts w:ascii="Arial" w:hAnsi="Arial" w:cs="Arial"/>
          <w:color w:val="000000"/>
          <w:sz w:val="20"/>
          <w:szCs w:val="20"/>
        </w:rPr>
        <w:t xml:space="preserve"> websites</w:t>
      </w:r>
      <w:r w:rsidRPr="0074712B">
        <w:rPr>
          <w:rFonts w:ascii="Arial" w:hAnsi="Arial" w:cs="Arial"/>
          <w:color w:val="000000"/>
          <w:sz w:val="20"/>
          <w:szCs w:val="20"/>
        </w:rPr>
        <w:t>, and corporate records</w:t>
      </w:r>
      <w:r w:rsidR="0019334D" w:rsidRPr="0074712B">
        <w:rPr>
          <w:rFonts w:ascii="Arial" w:hAnsi="Arial" w:cs="Arial"/>
          <w:color w:val="000000"/>
          <w:sz w:val="20"/>
          <w:szCs w:val="20"/>
        </w:rPr>
        <w:t xml:space="preserve"> website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 are:</w:t>
      </w:r>
    </w:p>
    <w:p w:rsidR="00682A4F" w:rsidRPr="0074712B" w:rsidRDefault="00682A4F" w:rsidP="00B60C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82A4F" w:rsidRPr="0074712B" w:rsidRDefault="00682A4F" w:rsidP="00630308">
      <w:pPr>
        <w:autoSpaceDE w:val="0"/>
        <w:autoSpaceDN w:val="0"/>
        <w:adjustRightInd w:val="0"/>
        <w:ind w:left="720" w:firstLine="450"/>
        <w:rPr>
          <w:rFonts w:ascii="Arial" w:hAnsi="Arial" w:cs="Arial"/>
          <w:color w:val="000000"/>
          <w:sz w:val="20"/>
          <w:szCs w:val="20"/>
        </w:rPr>
      </w:pPr>
      <w:r w:rsidRPr="0074712B">
        <w:rPr>
          <w:rFonts w:ascii="Arial" w:hAnsi="Arial" w:cs="Arial"/>
          <w:color w:val="000000"/>
          <w:sz w:val="20"/>
          <w:szCs w:val="20"/>
        </w:rPr>
        <w:t xml:space="preserve">County appraisers:  </w:t>
      </w:r>
      <w:hyperlink r:id="rId7" w:tooltip="Link for County appraisers" w:history="1">
        <w:r w:rsidRPr="0074712B">
          <w:rPr>
            <w:rFonts w:ascii="Arial" w:hAnsi="Arial" w:cs="Arial"/>
            <w:color w:val="0000FF"/>
            <w:sz w:val="20"/>
            <w:szCs w:val="20"/>
            <w:u w:val="single"/>
          </w:rPr>
          <w:t>http://www.state/fl.us/dor/property/apprasiers.htlm</w:t>
        </w:r>
      </w:hyperlink>
      <w:r w:rsidRPr="0074712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82A4F" w:rsidRPr="0074712B" w:rsidRDefault="00682A4F" w:rsidP="00630308">
      <w:pPr>
        <w:autoSpaceDE w:val="0"/>
        <w:autoSpaceDN w:val="0"/>
        <w:adjustRightInd w:val="0"/>
        <w:ind w:left="450" w:firstLine="720"/>
        <w:rPr>
          <w:rFonts w:ascii="Arial" w:hAnsi="Arial" w:cs="Arial"/>
          <w:color w:val="000000"/>
          <w:sz w:val="20"/>
          <w:szCs w:val="20"/>
        </w:rPr>
      </w:pPr>
      <w:r w:rsidRPr="0074712B">
        <w:rPr>
          <w:rFonts w:ascii="Arial" w:hAnsi="Arial" w:cs="Arial"/>
          <w:color w:val="000000"/>
          <w:sz w:val="20"/>
          <w:szCs w:val="20"/>
        </w:rPr>
        <w:t xml:space="preserve">Clerk of the courts:  </w:t>
      </w:r>
      <w:hyperlink r:id="rId8" w:tooltip="Link for Clerk of the courts" w:history="1">
        <w:r w:rsidRPr="0074712B">
          <w:rPr>
            <w:rFonts w:ascii="Arial" w:hAnsi="Arial" w:cs="Arial"/>
            <w:color w:val="0000FF"/>
            <w:sz w:val="20"/>
            <w:szCs w:val="20"/>
            <w:u w:val="single"/>
          </w:rPr>
          <w:t>http://www.flclercks.com</w:t>
        </w:r>
      </w:hyperlink>
      <w:r w:rsidRPr="0074712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82A4F" w:rsidRPr="0074712B" w:rsidRDefault="00682A4F" w:rsidP="00630308">
      <w:pPr>
        <w:autoSpaceDE w:val="0"/>
        <w:autoSpaceDN w:val="0"/>
        <w:adjustRightInd w:val="0"/>
        <w:ind w:left="450" w:firstLine="720"/>
        <w:rPr>
          <w:rFonts w:ascii="Arial" w:hAnsi="Arial" w:cs="Arial"/>
          <w:color w:val="000000"/>
          <w:sz w:val="20"/>
          <w:szCs w:val="20"/>
        </w:rPr>
      </w:pPr>
      <w:r w:rsidRPr="0074712B">
        <w:rPr>
          <w:rFonts w:ascii="Arial" w:hAnsi="Arial" w:cs="Arial"/>
          <w:color w:val="000000"/>
          <w:sz w:val="20"/>
          <w:szCs w:val="20"/>
        </w:rPr>
        <w:t xml:space="preserve">Corporate records:  </w:t>
      </w:r>
      <w:hyperlink r:id="rId9" w:tooltip="Link for Corporate records" w:history="1">
        <w:r w:rsidR="00DD74F2" w:rsidRPr="0074712B">
          <w:rPr>
            <w:rStyle w:val="Hyperlink"/>
            <w:rFonts w:ascii="Arial" w:hAnsi="Arial" w:cs="Arial"/>
            <w:sz w:val="20"/>
            <w:szCs w:val="20"/>
          </w:rPr>
          <w:t>http://www.sunbiz.org/ </w:t>
        </w:r>
      </w:hyperlink>
      <w:r w:rsidRPr="0074712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82A4F" w:rsidRPr="0074712B" w:rsidRDefault="00682A4F" w:rsidP="00630308">
      <w:pPr>
        <w:autoSpaceDE w:val="0"/>
        <w:autoSpaceDN w:val="0"/>
        <w:adjustRightInd w:val="0"/>
        <w:spacing w:before="120"/>
        <w:ind w:left="450" w:firstLine="720"/>
        <w:rPr>
          <w:rFonts w:ascii="Arial" w:hAnsi="Arial" w:cs="Arial"/>
          <w:color w:val="000000"/>
          <w:sz w:val="20"/>
          <w:szCs w:val="20"/>
        </w:rPr>
      </w:pPr>
      <w:r w:rsidRPr="0074712B">
        <w:rPr>
          <w:rFonts w:ascii="Arial" w:hAnsi="Arial" w:cs="Arial"/>
          <w:color w:val="000000"/>
          <w:sz w:val="20"/>
          <w:szCs w:val="20"/>
        </w:rPr>
        <w:t xml:space="preserve">These links are helpful in determining ownership interests.  </w:t>
      </w:r>
    </w:p>
    <w:p w:rsidR="00682A4F" w:rsidRPr="0074712B" w:rsidRDefault="00682A4F" w:rsidP="00630308">
      <w:pPr>
        <w:numPr>
          <w:ilvl w:val="0"/>
          <w:numId w:val="4"/>
        </w:numPr>
        <w:tabs>
          <w:tab w:val="left" w:pos="117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74712B">
        <w:rPr>
          <w:rFonts w:ascii="Arial" w:hAnsi="Arial" w:cs="Arial"/>
          <w:color w:val="000000"/>
          <w:sz w:val="20"/>
          <w:szCs w:val="20"/>
        </w:rPr>
        <w:t>Copies of all letters</w:t>
      </w:r>
      <w:r w:rsidR="00EE3D43" w:rsidRPr="0074712B">
        <w:rPr>
          <w:rFonts w:ascii="Arial" w:hAnsi="Arial" w:cs="Arial"/>
          <w:color w:val="000000"/>
          <w:sz w:val="20"/>
          <w:szCs w:val="20"/>
        </w:rPr>
        <w:t xml:space="preserve"> or emails</w:t>
      </w:r>
      <w:r w:rsidR="00630308" w:rsidRPr="00747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712B">
        <w:rPr>
          <w:rFonts w:ascii="Arial" w:hAnsi="Arial" w:cs="Arial"/>
          <w:color w:val="000000"/>
          <w:sz w:val="20"/>
          <w:szCs w:val="20"/>
        </w:rPr>
        <w:t>that have been sent to</w:t>
      </w:r>
      <w:r w:rsidR="00EE3D43" w:rsidRPr="0074712B">
        <w:rPr>
          <w:rFonts w:ascii="Arial" w:hAnsi="Arial" w:cs="Arial"/>
          <w:color w:val="000000"/>
          <w:sz w:val="20"/>
          <w:szCs w:val="20"/>
        </w:rPr>
        <w:t xml:space="preserve"> or received from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 the RPs,</w:t>
      </w:r>
      <w:r w:rsidR="00EE3D43" w:rsidRPr="0074712B">
        <w:rPr>
          <w:rFonts w:ascii="Arial" w:hAnsi="Arial" w:cs="Arial"/>
          <w:color w:val="000000"/>
          <w:sz w:val="20"/>
          <w:szCs w:val="20"/>
        </w:rPr>
        <w:t xml:space="preserve"> and that are not available in FIRST</w:t>
      </w:r>
      <w:r w:rsidR="00630308" w:rsidRPr="0074712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 </w:t>
      </w:r>
      <w:r w:rsidR="00EE3D43" w:rsidRPr="0074712B">
        <w:rPr>
          <w:rFonts w:ascii="Arial" w:hAnsi="Arial" w:cs="Arial"/>
          <w:color w:val="000000"/>
          <w:sz w:val="20"/>
          <w:szCs w:val="20"/>
        </w:rPr>
        <w:t>Please note that p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rior to referring a </w:t>
      </w:r>
      <w:r w:rsidR="00EE3D43" w:rsidRPr="0074712B">
        <w:rPr>
          <w:rFonts w:ascii="Arial" w:hAnsi="Arial" w:cs="Arial"/>
          <w:color w:val="000000"/>
          <w:sz w:val="20"/>
          <w:szCs w:val="20"/>
        </w:rPr>
        <w:t>facility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, </w:t>
      </w:r>
      <w:r w:rsidR="00EE3D43" w:rsidRPr="0074712B">
        <w:rPr>
          <w:rFonts w:ascii="Arial" w:hAnsi="Arial" w:cs="Arial"/>
          <w:color w:val="000000"/>
          <w:sz w:val="20"/>
          <w:szCs w:val="20"/>
        </w:rPr>
        <w:t xml:space="preserve">all potential RPs 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must have been contacted directly when the issues identified in the initial </w:t>
      </w:r>
      <w:r w:rsidR="00C82985" w:rsidRPr="0074712B">
        <w:rPr>
          <w:rFonts w:ascii="Arial" w:hAnsi="Arial" w:cs="Arial"/>
          <w:color w:val="000000"/>
          <w:sz w:val="20"/>
          <w:szCs w:val="20"/>
        </w:rPr>
        <w:t>Compliance Assistance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 letter have not been timely resolved.</w:t>
      </w:r>
    </w:p>
    <w:p w:rsidR="0074712B" w:rsidRDefault="0074712B" w:rsidP="0074712B">
      <w:pPr>
        <w:tabs>
          <w:tab w:val="left" w:pos="1170"/>
        </w:tabs>
        <w:ind w:left="1170" w:hanging="360"/>
        <w:rPr>
          <w:rFonts w:ascii="Arial" w:hAnsi="Arial" w:cs="Arial"/>
          <w:color w:val="000000"/>
          <w:sz w:val="20"/>
          <w:szCs w:val="20"/>
        </w:rPr>
      </w:pPr>
    </w:p>
    <w:p w:rsidR="00682A4F" w:rsidRPr="0074712B" w:rsidRDefault="00EE3D43" w:rsidP="0074712B">
      <w:pPr>
        <w:tabs>
          <w:tab w:val="left" w:pos="1170"/>
        </w:tabs>
        <w:ind w:left="1170" w:hanging="360"/>
        <w:rPr>
          <w:rFonts w:ascii="Arial" w:hAnsi="Arial" w:cs="Arial"/>
          <w:color w:val="000000"/>
          <w:sz w:val="20"/>
          <w:szCs w:val="20"/>
        </w:rPr>
      </w:pPr>
      <w:r w:rsidRPr="0074712B">
        <w:rPr>
          <w:rFonts w:ascii="Arial" w:hAnsi="Arial" w:cs="Arial"/>
          <w:color w:val="000000"/>
          <w:sz w:val="20"/>
          <w:szCs w:val="20"/>
        </w:rPr>
        <w:t>e.</w:t>
      </w:r>
      <w:r w:rsidRPr="0074712B">
        <w:rPr>
          <w:rFonts w:ascii="Arial" w:hAnsi="Arial" w:cs="Arial"/>
          <w:color w:val="000000"/>
          <w:sz w:val="20"/>
          <w:szCs w:val="20"/>
        </w:rPr>
        <w:tab/>
      </w:r>
      <w:r w:rsidR="00682A4F" w:rsidRPr="0074712B">
        <w:rPr>
          <w:rFonts w:ascii="Arial" w:hAnsi="Arial" w:cs="Arial"/>
          <w:color w:val="000000"/>
          <w:sz w:val="20"/>
          <w:szCs w:val="20"/>
        </w:rPr>
        <w:t>Copies of photographs</w:t>
      </w:r>
      <w:r w:rsidR="00630308" w:rsidRPr="0074712B">
        <w:rPr>
          <w:rFonts w:ascii="Arial" w:hAnsi="Arial" w:cs="Arial"/>
          <w:color w:val="000000"/>
          <w:sz w:val="20"/>
          <w:szCs w:val="20"/>
        </w:rPr>
        <w:t xml:space="preserve"> </w:t>
      </w:r>
      <w:r w:rsidR="00682A4F" w:rsidRPr="0074712B">
        <w:rPr>
          <w:rFonts w:ascii="Arial" w:hAnsi="Arial" w:cs="Arial"/>
          <w:color w:val="000000"/>
          <w:sz w:val="20"/>
          <w:szCs w:val="20"/>
        </w:rPr>
        <w:t>of the violations where appropriate</w:t>
      </w:r>
      <w:r w:rsidRPr="0074712B">
        <w:rPr>
          <w:rFonts w:ascii="Arial" w:hAnsi="Arial" w:cs="Arial"/>
          <w:color w:val="000000"/>
          <w:sz w:val="20"/>
          <w:szCs w:val="20"/>
        </w:rPr>
        <w:t xml:space="preserve"> and that are not available in FIRST</w:t>
      </w:r>
      <w:r w:rsidR="00682A4F" w:rsidRPr="0074712B">
        <w:rPr>
          <w:rFonts w:ascii="Arial" w:hAnsi="Arial" w:cs="Arial"/>
          <w:color w:val="000000"/>
          <w:sz w:val="20"/>
          <w:szCs w:val="20"/>
        </w:rPr>
        <w:t>.</w:t>
      </w:r>
    </w:p>
    <w:sectPr w:rsidR="00682A4F" w:rsidRPr="0074712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CC" w:rsidRDefault="001025CC">
      <w:r>
        <w:separator/>
      </w:r>
    </w:p>
  </w:endnote>
  <w:endnote w:type="continuationSeparator" w:id="0">
    <w:p w:rsidR="001025CC" w:rsidRDefault="0010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F2" w:rsidRDefault="00DD74F2" w:rsidP="00DD74F2">
    <w:pPr>
      <w:pStyle w:val="Footer"/>
      <w:jc w:val="center"/>
    </w:pPr>
    <w:r>
      <w:t xml:space="preserve">DEP Contract No. GCXXX, Guidance Document </w:t>
    </w:r>
    <w:r w:rsidR="00536F1F">
      <w:t>I</w:t>
    </w:r>
    <w:r>
      <w:t>, 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CC" w:rsidRDefault="001025CC">
      <w:r>
        <w:separator/>
      </w:r>
    </w:p>
  </w:footnote>
  <w:footnote w:type="continuationSeparator" w:id="0">
    <w:p w:rsidR="001025CC" w:rsidRDefault="0010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F2C"/>
    <w:multiLevelType w:val="singleLevel"/>
    <w:tmpl w:val="970AFA5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9B38C2"/>
    <w:multiLevelType w:val="singleLevel"/>
    <w:tmpl w:val="6C3A8AA2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3D300F"/>
    <w:multiLevelType w:val="hybridMultilevel"/>
    <w:tmpl w:val="80AE05BE"/>
    <w:lvl w:ilvl="0" w:tplc="CB0E62D6">
      <w:start w:val="1"/>
      <w:numFmt w:val="lowerLetter"/>
      <w:lvlText w:val="%1."/>
      <w:lvlJc w:val="left"/>
      <w:pPr>
        <w:ind w:left="11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9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4F"/>
    <w:rsid w:val="00004AEB"/>
    <w:rsid w:val="00025BBC"/>
    <w:rsid w:val="00085A91"/>
    <w:rsid w:val="001025CC"/>
    <w:rsid w:val="00182739"/>
    <w:rsid w:val="0019334D"/>
    <w:rsid w:val="0025038A"/>
    <w:rsid w:val="00280DC1"/>
    <w:rsid w:val="00284FFE"/>
    <w:rsid w:val="00366E26"/>
    <w:rsid w:val="00536F1F"/>
    <w:rsid w:val="00592074"/>
    <w:rsid w:val="00630308"/>
    <w:rsid w:val="00682A4F"/>
    <w:rsid w:val="006F636D"/>
    <w:rsid w:val="0074712B"/>
    <w:rsid w:val="00785CF0"/>
    <w:rsid w:val="007E0DD0"/>
    <w:rsid w:val="009720AC"/>
    <w:rsid w:val="00AF0ABF"/>
    <w:rsid w:val="00B60C7C"/>
    <w:rsid w:val="00C32147"/>
    <w:rsid w:val="00C82985"/>
    <w:rsid w:val="00CA0894"/>
    <w:rsid w:val="00D66DE0"/>
    <w:rsid w:val="00DA262B"/>
    <w:rsid w:val="00DD74F2"/>
    <w:rsid w:val="00E53FA2"/>
    <w:rsid w:val="00E879B7"/>
    <w:rsid w:val="00EE3D43"/>
    <w:rsid w:val="00F1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FBDEA-E6C0-4D5B-A77E-FA4B649C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4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4F2"/>
    <w:pPr>
      <w:tabs>
        <w:tab w:val="center" w:pos="4320"/>
        <w:tab w:val="right" w:pos="8640"/>
      </w:tabs>
    </w:pPr>
  </w:style>
  <w:style w:type="character" w:styleId="Hyperlink">
    <w:name w:val="Hyperlink"/>
    <w:rsid w:val="00DD74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0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0C7C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C829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985"/>
  </w:style>
  <w:style w:type="paragraph" w:styleId="CommentSubject">
    <w:name w:val="annotation subject"/>
    <w:basedOn w:val="CommentText"/>
    <w:next w:val="CommentText"/>
    <w:link w:val="CommentSubjectChar"/>
    <w:rsid w:val="00C82985"/>
    <w:rPr>
      <w:b/>
      <w:bCs/>
    </w:rPr>
  </w:style>
  <w:style w:type="character" w:customStyle="1" w:styleId="CommentSubjectChar">
    <w:name w:val="Comment Subject Char"/>
    <w:link w:val="CommentSubject"/>
    <w:rsid w:val="00C82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lerck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e/fl.us/dor/property/apprasiers.htl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nbiz.org/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Referral Procedures</vt:lpstr>
    </vt:vector>
  </TitlesOfParts>
  <Company>Florida Department of Environmental Protection</Company>
  <LinksUpToDate>false</LinksUpToDate>
  <CharactersWithSpaces>2297</CharactersWithSpaces>
  <SharedDoc>false</SharedDoc>
  <HLinks>
    <vt:vector size="18" baseType="variant"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http://www.sunbiz.org/ </vt:lpwstr>
      </vt:variant>
      <vt:variant>
        <vt:lpwstr/>
      </vt:variant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http://www.flclercks.com/</vt:lpwstr>
      </vt:variant>
      <vt:variant>
        <vt:lpwstr/>
      </vt:variant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http://www.state/fl.us/dor/property/apprasiers.htlm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Referral Procedures</dc:title>
  <dc:subject/>
  <dc:creator>mayo_mr</dc:creator>
  <cp:keywords/>
  <dc:description/>
  <cp:lastModifiedBy>Curran, Kimberley</cp:lastModifiedBy>
  <cp:revision>2</cp:revision>
  <dcterms:created xsi:type="dcterms:W3CDTF">2017-02-03T12:38:00Z</dcterms:created>
  <dcterms:modified xsi:type="dcterms:W3CDTF">2017-02-03T12:38:00Z</dcterms:modified>
</cp:coreProperties>
</file>