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47BF2" w14:textId="5CCEB30E" w:rsidR="00FA67D2" w:rsidRDefault="00D106B4" w:rsidP="00D72925">
      <w:pPr>
        <w:pStyle w:val="Default"/>
        <w:ind w:firstLine="220"/>
      </w:pPr>
      <w:bookmarkStart w:id="0" w:name="_GoBack"/>
      <w:bookmarkEnd w:id="0"/>
      <w:r>
        <w:t>BM</w:t>
      </w:r>
      <w:r w:rsidR="00A96476">
        <w:t>Revision</w:t>
      </w:r>
      <w:r w:rsidR="00C91F95">
        <w:t xml:space="preserve"> date: </w:t>
      </w:r>
      <w:r w:rsidR="00A96476">
        <w:rPr>
          <w:sz w:val="22"/>
          <w:szCs w:val="22"/>
        </w:rPr>
        <w:t>07/01/2020</w:t>
      </w:r>
    </w:p>
    <w:p w14:paraId="72B3E746" w14:textId="77777777" w:rsidR="00FA67D2" w:rsidRDefault="00FA67D2">
      <w:pPr>
        <w:pStyle w:val="BodyText"/>
      </w:pPr>
    </w:p>
    <w:p w14:paraId="7ABC6C00" w14:textId="77777777" w:rsidR="00FA67D2" w:rsidRDefault="00FA67D2">
      <w:pPr>
        <w:pStyle w:val="BodyText"/>
        <w:spacing w:before="4"/>
        <w:rPr>
          <w:sz w:val="20"/>
        </w:rPr>
      </w:pPr>
    </w:p>
    <w:p w14:paraId="29883AB5" w14:textId="77777777" w:rsidR="00FA67D2" w:rsidRDefault="00C91F95">
      <w:pPr>
        <w:pStyle w:val="Heading1"/>
      </w:pPr>
      <w:r>
        <w:t>Introduction</w:t>
      </w:r>
    </w:p>
    <w:p w14:paraId="6A40EB39" w14:textId="77777777" w:rsidR="00FA67D2" w:rsidRDefault="00C91F95">
      <w:pPr>
        <w:pStyle w:val="BodyText"/>
        <w:spacing w:before="169" w:line="276" w:lineRule="auto"/>
        <w:ind w:left="220" w:right="263"/>
      </w:pPr>
      <w:r>
        <w:t>Department of Environmental Protection (DEP) Directive 923 is the Department’s controlling enforcement document. These guidelines are intended to complement Directive 923 to determine the appropriate amount of civil and administrative penalties to seek when settling enforcement actions.</w:t>
      </w:r>
    </w:p>
    <w:p w14:paraId="578CCFC2" w14:textId="77777777" w:rsidR="00FA67D2" w:rsidRDefault="00C91F95">
      <w:pPr>
        <w:pStyle w:val="BodyText"/>
        <w:spacing w:line="273" w:lineRule="auto"/>
        <w:ind w:left="220" w:right="883"/>
      </w:pPr>
      <w:r>
        <w:t>These guidelines are intended to provide a rational, fair, and consistent method to determine the appropriate enforcement response for NPDES Stormwater violations.</w:t>
      </w:r>
    </w:p>
    <w:p w14:paraId="500B2E73" w14:textId="77777777" w:rsidR="00FA67D2" w:rsidRDefault="00C91F95">
      <w:pPr>
        <w:pStyle w:val="Heading1"/>
        <w:spacing w:before="127"/>
      </w:pPr>
      <w:r>
        <w:t>Administrative Penalties (ELRA)</w:t>
      </w:r>
    </w:p>
    <w:p w14:paraId="5801DDF9" w14:textId="3E0A56B1" w:rsidR="00FA67D2" w:rsidRDefault="00B34B4F">
      <w:pPr>
        <w:pStyle w:val="BodyText"/>
        <w:spacing w:before="169" w:line="276" w:lineRule="auto"/>
        <w:ind w:left="219" w:right="263"/>
      </w:pPr>
      <w:r>
        <w:rPr>
          <w:noProof/>
        </w:rPr>
        <mc:AlternateContent>
          <mc:Choice Requires="wps">
            <w:drawing>
              <wp:anchor distT="0" distB="0" distL="114300" distR="114300" simplePos="0" relativeHeight="250946560" behindDoc="1" locked="0" layoutInCell="1" allowOverlap="1" wp14:anchorId="6023A528" wp14:editId="5B3FEA3F">
                <wp:simplePos x="0" y="0"/>
                <wp:positionH relativeFrom="page">
                  <wp:posOffset>1706880</wp:posOffset>
                </wp:positionH>
                <wp:positionV relativeFrom="paragraph">
                  <wp:posOffset>1694180</wp:posOffset>
                </wp:positionV>
                <wp:extent cx="1740535" cy="14033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229BF" w14:textId="77777777" w:rsidR="00FA67D2" w:rsidRDefault="00C91F95">
                            <w:pPr>
                              <w:spacing w:line="221" w:lineRule="exact"/>
                              <w:rPr>
                                <w:b/>
                              </w:rPr>
                            </w:pPr>
                            <w:r>
                              <w:rPr>
                                <w:b/>
                              </w:rPr>
                              <w:t>Violation (statutory language)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3A528" id="_x0000_t202" coordsize="21600,21600" o:spt="202" path="m,l,21600r21600,l21600,xe">
                <v:stroke joinstyle="miter"/>
                <v:path gradientshapeok="t" o:connecttype="rect"/>
              </v:shapetype>
              <v:shape id="Text Box 4" o:spid="_x0000_s1026" type="#_x0000_t202" style="position:absolute;left:0;text-align:left;margin-left:134.4pt;margin-top:133.4pt;width:137.05pt;height:11.05pt;z-index:-25236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" filled="f" stroked="f">
                <v:textbox inset="0,0,0,0">
                  <w:txbxContent>
                    <w:p w14:paraId="72F229BF" w14:textId="77777777" w:rsidR="00FA67D2" w:rsidRDefault="00C91F95">
                      <w:pPr>
                        <w:spacing w:line="221" w:lineRule="exact"/>
                        <w:rPr>
                          <w:b/>
                        </w:rPr>
                      </w:pPr>
                      <w:r>
                        <w:rPr>
                          <w:b/>
                        </w:rPr>
                        <w:t>Violation (statutory language)</w:t>
                      </w:r>
                    </w:p>
                  </w:txbxContent>
                </v:textbox>
                <w10:wrap anchorx="page"/>
              </v:shape>
            </w:pict>
          </mc:Fallback>
        </mc:AlternateContent>
      </w:r>
      <w:r>
        <w:rPr>
          <w:noProof/>
        </w:rPr>
        <mc:AlternateContent>
          <mc:Choice Requires="wps">
            <w:drawing>
              <wp:anchor distT="0" distB="0" distL="114300" distR="114300" simplePos="0" relativeHeight="250947584" behindDoc="1" locked="0" layoutInCell="1" allowOverlap="1" wp14:anchorId="5283D49C" wp14:editId="1F8CDA08">
                <wp:simplePos x="0" y="0"/>
                <wp:positionH relativeFrom="page">
                  <wp:posOffset>4698365</wp:posOffset>
                </wp:positionH>
                <wp:positionV relativeFrom="paragraph">
                  <wp:posOffset>1694180</wp:posOffset>
                </wp:positionV>
                <wp:extent cx="743585" cy="14033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1244B" w14:textId="77777777" w:rsidR="00FA67D2" w:rsidRDefault="00C91F95">
                            <w:pPr>
                              <w:spacing w:line="221" w:lineRule="exact"/>
                              <w:rPr>
                                <w:b/>
                              </w:rPr>
                            </w:pPr>
                            <w:r>
                              <w:rPr>
                                <w:b/>
                              </w:rPr>
                              <w:t>Base Penalty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3D49C" id="Text Box 3" o:spid="_x0000_s1027" type="#_x0000_t202" style="position:absolute;left:0;text-align:left;margin-left:369.95pt;margin-top:133.4pt;width:58.55pt;height:11.05pt;z-index:-25236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NxhrwIAAK8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" filled="f" stroked="f">
                <v:textbox inset="0,0,0,0">
                  <w:txbxContent>
                    <w:p w14:paraId="43B1244B" w14:textId="77777777" w:rsidR="00FA67D2" w:rsidRDefault="00C91F95">
                      <w:pPr>
                        <w:spacing w:line="221" w:lineRule="exact"/>
                        <w:rPr>
                          <w:b/>
                        </w:rPr>
                      </w:pPr>
                      <w:r>
                        <w:rPr>
                          <w:b/>
                        </w:rPr>
                        <w:t>Base Penalty</w:t>
                      </w:r>
                    </w:p>
                  </w:txbxContent>
                </v:textbox>
                <w10:wrap anchorx="page"/>
              </v:shape>
            </w:pict>
          </mc:Fallback>
        </mc:AlternateContent>
      </w:r>
      <w:r>
        <w:rPr>
          <w:noProof/>
        </w:rPr>
        <mc:AlternateContent>
          <mc:Choice Requires="wps">
            <w:drawing>
              <wp:anchor distT="0" distB="0" distL="114300" distR="114300" simplePos="0" relativeHeight="250948608" behindDoc="1" locked="0" layoutInCell="1" allowOverlap="1" wp14:anchorId="26803FC9" wp14:editId="0F6E9995">
                <wp:simplePos x="0" y="0"/>
                <wp:positionH relativeFrom="page">
                  <wp:posOffset>6103620</wp:posOffset>
                </wp:positionH>
                <wp:positionV relativeFrom="paragraph">
                  <wp:posOffset>1694180</wp:posOffset>
                </wp:positionV>
                <wp:extent cx="551180" cy="14033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BDFE6" w14:textId="77777777" w:rsidR="00FA67D2" w:rsidRDefault="00C91F95">
                            <w:pPr>
                              <w:spacing w:line="221" w:lineRule="exact"/>
                              <w:rPr>
                                <w:b/>
                              </w:rPr>
                            </w:pPr>
                            <w:r>
                              <w:rPr>
                                <w:b/>
                              </w:rPr>
                              <w:t>Cite (F.S.)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03FC9" id="Text Box 2" o:spid="_x0000_s1028" type="#_x0000_t202" style="position:absolute;left:0;text-align:left;margin-left:480.6pt;margin-top:133.4pt;width:43.4pt;height:11.05pt;z-index:-25236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" filled="f" stroked="f">
                <v:textbox inset="0,0,0,0">
                  <w:txbxContent>
                    <w:p w14:paraId="4F9BDFE6" w14:textId="77777777" w:rsidR="00FA67D2" w:rsidRDefault="00C91F95">
                      <w:pPr>
                        <w:spacing w:line="221" w:lineRule="exact"/>
                        <w:rPr>
                          <w:b/>
                        </w:rPr>
                      </w:pPr>
                      <w:r>
                        <w:rPr>
                          <w:b/>
                        </w:rPr>
                        <w:t>Cite (F.S.)</w:t>
                      </w:r>
                    </w:p>
                  </w:txbxContent>
                </v:textbox>
                <w10:wrap anchorx="page"/>
              </v:shape>
            </w:pict>
          </mc:Fallback>
        </mc:AlternateContent>
      </w:r>
      <w:r w:rsidR="00C91F95">
        <w:t>Under the Environmental Litigation and Reform Act (ELRA), the Department can issue an administrative penalty for certain violations through a Notice of Violation (NOV). Administrative penalty amounts are stipulated by statute. For additional details, see DEP Directive 923 and Section 403.121 of the Florida Statutes (F.S.). NPDES stormwater violations are not specifically listed in Section 403.121(3), F.S., so the ELRA base penalty amounts and adjustment factors that are potentially applicable to NPDES stormwater violations are limited to the following violations, as listed in Sections 403.121(4) and (5), F.S.</w:t>
      </w:r>
    </w:p>
    <w:p w14:paraId="5AAD7E62" w14:textId="77777777" w:rsidR="00FA67D2" w:rsidRDefault="00FA67D2">
      <w:pPr>
        <w:pStyle w:val="BodyText"/>
        <w:rPr>
          <w:sz w:val="20"/>
        </w:rPr>
      </w:pPr>
    </w:p>
    <w:p w14:paraId="4CD66924" w14:textId="77777777" w:rsidR="00FA67D2" w:rsidRDefault="00FA67D2">
      <w:pPr>
        <w:pStyle w:val="BodyText"/>
        <w:spacing w:before="3"/>
        <w:rPr>
          <w:sz w:val="2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65"/>
        <w:gridCol w:w="2391"/>
        <w:gridCol w:w="1736"/>
      </w:tblGrid>
      <w:tr w:rsidR="00074213" w14:paraId="35623085" w14:textId="77777777">
        <w:trPr>
          <w:trHeight w:val="472"/>
        </w:trPr>
        <w:tc>
          <w:tcPr>
            <w:tcW w:w="5465" w:type="dxa"/>
            <w:shd w:val="clear" w:color="auto" w:fill="DCC695"/>
          </w:tcPr>
          <w:p w14:paraId="588C675D" w14:textId="39A64DE0" w:rsidR="00074213" w:rsidRPr="008368F1" w:rsidRDefault="00074213" w:rsidP="008368F1">
            <w:pPr>
              <w:pStyle w:val="TableParagraph"/>
              <w:jc w:val="center"/>
              <w:rPr>
                <w:rFonts w:ascii="Times New Roman"/>
                <w:b/>
                <w:bCs/>
              </w:rPr>
            </w:pPr>
            <w:r w:rsidRPr="008368F1">
              <w:rPr>
                <w:b/>
                <w:bCs/>
              </w:rPr>
              <w:t>Violation (Statutory Language)</w:t>
            </w:r>
          </w:p>
        </w:tc>
        <w:tc>
          <w:tcPr>
            <w:tcW w:w="2391" w:type="dxa"/>
            <w:shd w:val="clear" w:color="auto" w:fill="DCC695"/>
          </w:tcPr>
          <w:p w14:paraId="1D663A19" w14:textId="3C0650E2" w:rsidR="00074213" w:rsidRPr="008368F1" w:rsidRDefault="00074213" w:rsidP="008368F1">
            <w:pPr>
              <w:pStyle w:val="TableParagraph"/>
              <w:jc w:val="center"/>
              <w:rPr>
                <w:rFonts w:ascii="Times New Roman"/>
                <w:b/>
                <w:bCs/>
              </w:rPr>
            </w:pPr>
            <w:r w:rsidRPr="008368F1">
              <w:rPr>
                <w:b/>
                <w:bCs/>
              </w:rPr>
              <w:t>Base Penalty</w:t>
            </w:r>
          </w:p>
        </w:tc>
        <w:tc>
          <w:tcPr>
            <w:tcW w:w="1736" w:type="dxa"/>
            <w:shd w:val="clear" w:color="auto" w:fill="DCC695"/>
          </w:tcPr>
          <w:p w14:paraId="75CF865A" w14:textId="5959C504" w:rsidR="00074213" w:rsidRPr="008368F1" w:rsidRDefault="00074213" w:rsidP="008368F1">
            <w:pPr>
              <w:pStyle w:val="TableParagraph"/>
              <w:jc w:val="center"/>
              <w:rPr>
                <w:rFonts w:ascii="Times New Roman"/>
                <w:b/>
                <w:bCs/>
              </w:rPr>
            </w:pPr>
            <w:r w:rsidRPr="008368F1">
              <w:rPr>
                <w:b/>
                <w:bCs/>
              </w:rPr>
              <w:t>Cite (F.S.)</w:t>
            </w:r>
          </w:p>
        </w:tc>
      </w:tr>
      <w:tr w:rsidR="00FA67D2" w14:paraId="0C33978E" w14:textId="77777777">
        <w:trPr>
          <w:trHeight w:val="743"/>
        </w:trPr>
        <w:tc>
          <w:tcPr>
            <w:tcW w:w="5465" w:type="dxa"/>
          </w:tcPr>
          <w:p w14:paraId="12EC21AE" w14:textId="77777777" w:rsidR="00FA67D2" w:rsidRDefault="00C91F95">
            <w:pPr>
              <w:pStyle w:val="TableParagraph"/>
              <w:spacing w:before="44" w:line="237" w:lineRule="auto"/>
              <w:ind w:left="114" w:right="507"/>
            </w:pPr>
            <w:r>
              <w:t>Failure to install, maintain, or use a required pollution control system or device</w:t>
            </w:r>
          </w:p>
        </w:tc>
        <w:tc>
          <w:tcPr>
            <w:tcW w:w="2391" w:type="dxa"/>
          </w:tcPr>
          <w:p w14:paraId="07D4CF01" w14:textId="2A50F9D0" w:rsidR="00FA67D2" w:rsidRDefault="00BB60D1" w:rsidP="008368F1">
            <w:pPr>
              <w:pStyle w:val="TableParagraph"/>
              <w:spacing w:before="174"/>
              <w:ind w:right="582"/>
              <w:jc w:val="center"/>
            </w:pPr>
            <w:r>
              <w:t>$6,000</w:t>
            </w:r>
          </w:p>
        </w:tc>
        <w:tc>
          <w:tcPr>
            <w:tcW w:w="1736" w:type="dxa"/>
          </w:tcPr>
          <w:p w14:paraId="0A161516" w14:textId="77777777" w:rsidR="00FA67D2" w:rsidRDefault="00C91F95">
            <w:pPr>
              <w:pStyle w:val="TableParagraph"/>
              <w:spacing w:before="174"/>
              <w:ind w:left="237" w:right="230"/>
              <w:jc w:val="center"/>
            </w:pPr>
            <w:r>
              <w:t>403.121(4)(b)</w:t>
            </w:r>
          </w:p>
        </w:tc>
      </w:tr>
      <w:tr w:rsidR="00FA67D2" w14:paraId="52467BC1" w14:textId="77777777">
        <w:trPr>
          <w:trHeight w:val="743"/>
        </w:trPr>
        <w:tc>
          <w:tcPr>
            <w:tcW w:w="5465" w:type="dxa"/>
          </w:tcPr>
          <w:p w14:paraId="3249DCA8" w14:textId="77777777" w:rsidR="00FA67D2" w:rsidRDefault="00C91F95">
            <w:pPr>
              <w:pStyle w:val="TableParagraph"/>
              <w:spacing w:before="40"/>
              <w:ind w:left="114" w:right="158"/>
            </w:pPr>
            <w:r>
              <w:t>Failure to obtain a required permit before construction or modification</w:t>
            </w:r>
          </w:p>
        </w:tc>
        <w:tc>
          <w:tcPr>
            <w:tcW w:w="2391" w:type="dxa"/>
          </w:tcPr>
          <w:p w14:paraId="56A2EA1A" w14:textId="4727624B" w:rsidR="00FA67D2" w:rsidRDefault="00BB60D1" w:rsidP="008368F1">
            <w:pPr>
              <w:pStyle w:val="TableParagraph"/>
              <w:spacing w:before="174"/>
              <w:ind w:right="582"/>
              <w:jc w:val="center"/>
            </w:pPr>
            <w:r>
              <w:t>$4,500</w:t>
            </w:r>
          </w:p>
        </w:tc>
        <w:tc>
          <w:tcPr>
            <w:tcW w:w="1736" w:type="dxa"/>
          </w:tcPr>
          <w:p w14:paraId="42FBD5D1" w14:textId="77777777" w:rsidR="00FA67D2" w:rsidRDefault="00C91F95">
            <w:pPr>
              <w:pStyle w:val="TableParagraph"/>
              <w:spacing w:before="174"/>
              <w:ind w:left="237" w:right="230"/>
              <w:jc w:val="center"/>
            </w:pPr>
            <w:r>
              <w:t>403.121(4)(c)</w:t>
            </w:r>
          </w:p>
        </w:tc>
      </w:tr>
      <w:tr w:rsidR="00FA67D2" w14:paraId="55BF6D65" w14:textId="77777777">
        <w:trPr>
          <w:trHeight w:val="474"/>
        </w:trPr>
        <w:tc>
          <w:tcPr>
            <w:tcW w:w="5465" w:type="dxa"/>
          </w:tcPr>
          <w:p w14:paraId="75068A3B" w14:textId="77777777" w:rsidR="00FA67D2" w:rsidRDefault="00C91F95">
            <w:pPr>
              <w:pStyle w:val="TableParagraph"/>
              <w:spacing w:before="40"/>
              <w:ind w:left="114"/>
            </w:pPr>
            <w:r>
              <w:t>Failure to conduct required monitoring or testing</w:t>
            </w:r>
          </w:p>
        </w:tc>
        <w:tc>
          <w:tcPr>
            <w:tcW w:w="2391" w:type="dxa"/>
            <w:vMerge w:val="restart"/>
          </w:tcPr>
          <w:p w14:paraId="16F1E196" w14:textId="77777777" w:rsidR="00FA67D2" w:rsidRDefault="00FA67D2" w:rsidP="008368F1">
            <w:pPr>
              <w:pStyle w:val="TableParagraph"/>
              <w:jc w:val="center"/>
            </w:pPr>
          </w:p>
          <w:p w14:paraId="5867FD8D" w14:textId="77777777" w:rsidR="00FA67D2" w:rsidRDefault="00FA67D2" w:rsidP="008368F1">
            <w:pPr>
              <w:pStyle w:val="TableParagraph"/>
              <w:jc w:val="center"/>
              <w:rPr>
                <w:sz w:val="21"/>
              </w:rPr>
            </w:pPr>
          </w:p>
          <w:p w14:paraId="2876DDB2" w14:textId="4CF2B8BA" w:rsidR="00FA67D2" w:rsidRDefault="00BB60D1" w:rsidP="008368F1">
            <w:pPr>
              <w:pStyle w:val="TableParagraph"/>
              <w:ind w:right="582"/>
              <w:jc w:val="center"/>
            </w:pPr>
            <w:r>
              <w:t>$3,000</w:t>
            </w:r>
          </w:p>
        </w:tc>
        <w:tc>
          <w:tcPr>
            <w:tcW w:w="1736" w:type="dxa"/>
            <w:vMerge w:val="restart"/>
          </w:tcPr>
          <w:p w14:paraId="7323B679" w14:textId="77777777" w:rsidR="00FA67D2" w:rsidRDefault="00FA67D2" w:rsidP="008368F1">
            <w:pPr>
              <w:pStyle w:val="TableParagraph"/>
              <w:jc w:val="center"/>
            </w:pPr>
          </w:p>
          <w:p w14:paraId="3C1C44BB" w14:textId="77777777" w:rsidR="00FA67D2" w:rsidRDefault="00FA67D2" w:rsidP="008368F1">
            <w:pPr>
              <w:pStyle w:val="TableParagraph"/>
              <w:jc w:val="center"/>
              <w:rPr>
                <w:sz w:val="21"/>
              </w:rPr>
            </w:pPr>
          </w:p>
          <w:p w14:paraId="23858EAE" w14:textId="77777777" w:rsidR="00FA67D2" w:rsidRDefault="00C91F95" w:rsidP="008368F1">
            <w:pPr>
              <w:pStyle w:val="TableParagraph"/>
              <w:ind w:left="255"/>
              <w:jc w:val="center"/>
            </w:pPr>
            <w:r>
              <w:t>403.121(4)(d)</w:t>
            </w:r>
          </w:p>
        </w:tc>
      </w:tr>
      <w:tr w:rsidR="00FA67D2" w14:paraId="53F565AC" w14:textId="77777777">
        <w:trPr>
          <w:trHeight w:val="474"/>
        </w:trPr>
        <w:tc>
          <w:tcPr>
            <w:tcW w:w="5465" w:type="dxa"/>
          </w:tcPr>
          <w:p w14:paraId="2BD4A0C5" w14:textId="77777777" w:rsidR="00FA67D2" w:rsidRDefault="00C91F95">
            <w:pPr>
              <w:pStyle w:val="TableParagraph"/>
              <w:spacing w:before="40"/>
              <w:ind w:left="114"/>
            </w:pPr>
            <w:r>
              <w:t>Failure to conduct required release detection</w:t>
            </w:r>
          </w:p>
        </w:tc>
        <w:tc>
          <w:tcPr>
            <w:tcW w:w="2391" w:type="dxa"/>
            <w:vMerge/>
            <w:tcBorders>
              <w:top w:val="nil"/>
            </w:tcBorders>
          </w:tcPr>
          <w:p w14:paraId="172880AF" w14:textId="77777777" w:rsidR="00FA67D2" w:rsidRDefault="00FA67D2" w:rsidP="008368F1">
            <w:pPr>
              <w:jc w:val="center"/>
              <w:rPr>
                <w:sz w:val="2"/>
                <w:szCs w:val="2"/>
              </w:rPr>
            </w:pPr>
          </w:p>
        </w:tc>
        <w:tc>
          <w:tcPr>
            <w:tcW w:w="1736" w:type="dxa"/>
            <w:vMerge/>
            <w:tcBorders>
              <w:top w:val="nil"/>
            </w:tcBorders>
          </w:tcPr>
          <w:p w14:paraId="07DD6842" w14:textId="77777777" w:rsidR="00FA67D2" w:rsidRDefault="00FA67D2" w:rsidP="008368F1">
            <w:pPr>
              <w:jc w:val="center"/>
              <w:rPr>
                <w:sz w:val="2"/>
                <w:szCs w:val="2"/>
              </w:rPr>
            </w:pPr>
          </w:p>
        </w:tc>
      </w:tr>
      <w:tr w:rsidR="00FA67D2" w14:paraId="13B4BC08" w14:textId="77777777">
        <w:trPr>
          <w:trHeight w:val="474"/>
        </w:trPr>
        <w:tc>
          <w:tcPr>
            <w:tcW w:w="5465" w:type="dxa"/>
          </w:tcPr>
          <w:p w14:paraId="084A4C15" w14:textId="77777777" w:rsidR="00FA67D2" w:rsidRDefault="00C91F95">
            <w:pPr>
              <w:pStyle w:val="TableParagraph"/>
              <w:spacing w:before="40"/>
              <w:ind w:left="114"/>
            </w:pPr>
            <w:r>
              <w:t>Failure to construct in compliance with a permit</w:t>
            </w:r>
          </w:p>
        </w:tc>
        <w:tc>
          <w:tcPr>
            <w:tcW w:w="2391" w:type="dxa"/>
            <w:vMerge/>
            <w:tcBorders>
              <w:top w:val="nil"/>
            </w:tcBorders>
          </w:tcPr>
          <w:p w14:paraId="255577E1" w14:textId="77777777" w:rsidR="00FA67D2" w:rsidRDefault="00FA67D2" w:rsidP="008368F1">
            <w:pPr>
              <w:jc w:val="center"/>
              <w:rPr>
                <w:sz w:val="2"/>
                <w:szCs w:val="2"/>
              </w:rPr>
            </w:pPr>
          </w:p>
        </w:tc>
        <w:tc>
          <w:tcPr>
            <w:tcW w:w="1736" w:type="dxa"/>
            <w:vMerge/>
            <w:tcBorders>
              <w:top w:val="nil"/>
            </w:tcBorders>
          </w:tcPr>
          <w:p w14:paraId="5AE4B9B2" w14:textId="77777777" w:rsidR="00FA67D2" w:rsidRDefault="00FA67D2" w:rsidP="008368F1">
            <w:pPr>
              <w:jc w:val="center"/>
              <w:rPr>
                <w:sz w:val="2"/>
                <w:szCs w:val="2"/>
              </w:rPr>
            </w:pPr>
          </w:p>
        </w:tc>
      </w:tr>
      <w:tr w:rsidR="00FA67D2" w14:paraId="1F25CF62" w14:textId="77777777">
        <w:trPr>
          <w:trHeight w:val="743"/>
        </w:trPr>
        <w:tc>
          <w:tcPr>
            <w:tcW w:w="5465" w:type="dxa"/>
          </w:tcPr>
          <w:p w14:paraId="179E34A2" w14:textId="77777777" w:rsidR="00FA67D2" w:rsidRDefault="00C91F95">
            <w:pPr>
              <w:pStyle w:val="TableParagraph"/>
              <w:spacing w:before="40"/>
              <w:ind w:left="114" w:right="1098"/>
            </w:pPr>
            <w:r>
              <w:t>Failure to maintain required staff to respond to emergencies</w:t>
            </w:r>
          </w:p>
        </w:tc>
        <w:tc>
          <w:tcPr>
            <w:tcW w:w="2391" w:type="dxa"/>
            <w:vMerge w:val="restart"/>
          </w:tcPr>
          <w:p w14:paraId="2B55E765" w14:textId="77777777" w:rsidR="00FA67D2" w:rsidRDefault="00FA67D2" w:rsidP="008368F1">
            <w:pPr>
              <w:pStyle w:val="TableParagraph"/>
              <w:jc w:val="center"/>
            </w:pPr>
          </w:p>
          <w:p w14:paraId="199ADE8B" w14:textId="77777777" w:rsidR="00FA67D2" w:rsidRDefault="00FA67D2" w:rsidP="008368F1">
            <w:pPr>
              <w:pStyle w:val="TableParagraph"/>
              <w:jc w:val="center"/>
            </w:pPr>
          </w:p>
          <w:p w14:paraId="65582D98" w14:textId="77777777" w:rsidR="00FA67D2" w:rsidRDefault="00FA67D2" w:rsidP="008368F1">
            <w:pPr>
              <w:pStyle w:val="TableParagraph"/>
              <w:jc w:val="center"/>
            </w:pPr>
          </w:p>
          <w:p w14:paraId="02DA1BC8" w14:textId="77777777" w:rsidR="00FA67D2" w:rsidRDefault="00FA67D2" w:rsidP="008368F1">
            <w:pPr>
              <w:pStyle w:val="TableParagraph"/>
              <w:jc w:val="center"/>
            </w:pPr>
          </w:p>
          <w:p w14:paraId="046868EE" w14:textId="77777777" w:rsidR="00FA67D2" w:rsidRDefault="00FA67D2" w:rsidP="008368F1">
            <w:pPr>
              <w:pStyle w:val="TableParagraph"/>
              <w:spacing w:before="6"/>
              <w:jc w:val="center"/>
              <w:rPr>
                <w:sz w:val="27"/>
              </w:rPr>
            </w:pPr>
          </w:p>
          <w:p w14:paraId="348E1874" w14:textId="16A59D7A" w:rsidR="00FA67D2" w:rsidRDefault="00BB60D1" w:rsidP="008368F1">
            <w:pPr>
              <w:pStyle w:val="TableParagraph"/>
              <w:ind w:right="582"/>
              <w:jc w:val="center"/>
            </w:pPr>
            <w:r>
              <w:t>$1,500</w:t>
            </w:r>
          </w:p>
        </w:tc>
        <w:tc>
          <w:tcPr>
            <w:tcW w:w="1736" w:type="dxa"/>
            <w:vMerge w:val="restart"/>
          </w:tcPr>
          <w:p w14:paraId="4A4CE822" w14:textId="77777777" w:rsidR="00FA67D2" w:rsidRDefault="00FA67D2" w:rsidP="008368F1">
            <w:pPr>
              <w:pStyle w:val="TableParagraph"/>
              <w:jc w:val="center"/>
            </w:pPr>
          </w:p>
          <w:p w14:paraId="03722E52" w14:textId="77777777" w:rsidR="00FA67D2" w:rsidRDefault="00FA67D2" w:rsidP="008368F1">
            <w:pPr>
              <w:pStyle w:val="TableParagraph"/>
              <w:jc w:val="center"/>
            </w:pPr>
          </w:p>
          <w:p w14:paraId="4E67A002" w14:textId="77777777" w:rsidR="00FA67D2" w:rsidRDefault="00FA67D2" w:rsidP="008368F1">
            <w:pPr>
              <w:pStyle w:val="TableParagraph"/>
              <w:jc w:val="center"/>
            </w:pPr>
          </w:p>
          <w:p w14:paraId="78724A9C" w14:textId="77777777" w:rsidR="00FA67D2" w:rsidRDefault="00FA67D2" w:rsidP="008368F1">
            <w:pPr>
              <w:pStyle w:val="TableParagraph"/>
              <w:jc w:val="center"/>
            </w:pPr>
          </w:p>
          <w:p w14:paraId="53A5335D" w14:textId="77777777" w:rsidR="00FA67D2" w:rsidRDefault="00FA67D2" w:rsidP="008368F1">
            <w:pPr>
              <w:pStyle w:val="TableParagraph"/>
              <w:spacing w:before="6"/>
              <w:jc w:val="center"/>
              <w:rPr>
                <w:sz w:val="27"/>
              </w:rPr>
            </w:pPr>
          </w:p>
          <w:p w14:paraId="03B057D2" w14:textId="77777777" w:rsidR="00FA67D2" w:rsidRDefault="00C91F95" w:rsidP="008368F1">
            <w:pPr>
              <w:pStyle w:val="TableParagraph"/>
              <w:ind w:left="258"/>
              <w:jc w:val="center"/>
            </w:pPr>
            <w:r>
              <w:t>403.121(4)(e)</w:t>
            </w:r>
          </w:p>
        </w:tc>
      </w:tr>
      <w:tr w:rsidR="00FA67D2" w14:paraId="55E53026" w14:textId="77777777">
        <w:trPr>
          <w:trHeight w:val="472"/>
        </w:trPr>
        <w:tc>
          <w:tcPr>
            <w:tcW w:w="5465" w:type="dxa"/>
          </w:tcPr>
          <w:p w14:paraId="0891B002" w14:textId="77777777" w:rsidR="00FA67D2" w:rsidRDefault="00C91F95">
            <w:pPr>
              <w:pStyle w:val="TableParagraph"/>
              <w:spacing w:before="40"/>
              <w:ind w:left="114"/>
            </w:pPr>
            <w:r>
              <w:t>Failure to conduct required training</w:t>
            </w:r>
          </w:p>
        </w:tc>
        <w:tc>
          <w:tcPr>
            <w:tcW w:w="2391" w:type="dxa"/>
            <w:vMerge/>
            <w:tcBorders>
              <w:top w:val="nil"/>
            </w:tcBorders>
          </w:tcPr>
          <w:p w14:paraId="5819E231" w14:textId="77777777" w:rsidR="00FA67D2" w:rsidRDefault="00FA67D2" w:rsidP="008368F1">
            <w:pPr>
              <w:jc w:val="center"/>
              <w:rPr>
                <w:sz w:val="2"/>
                <w:szCs w:val="2"/>
              </w:rPr>
            </w:pPr>
          </w:p>
        </w:tc>
        <w:tc>
          <w:tcPr>
            <w:tcW w:w="1736" w:type="dxa"/>
            <w:vMerge/>
            <w:tcBorders>
              <w:top w:val="nil"/>
            </w:tcBorders>
          </w:tcPr>
          <w:p w14:paraId="740744BE" w14:textId="77777777" w:rsidR="00FA67D2" w:rsidRDefault="00FA67D2" w:rsidP="008368F1">
            <w:pPr>
              <w:jc w:val="center"/>
              <w:rPr>
                <w:sz w:val="2"/>
                <w:szCs w:val="2"/>
              </w:rPr>
            </w:pPr>
          </w:p>
        </w:tc>
      </w:tr>
      <w:tr w:rsidR="00FA67D2" w14:paraId="32FA00D9" w14:textId="77777777">
        <w:trPr>
          <w:trHeight w:val="743"/>
        </w:trPr>
        <w:tc>
          <w:tcPr>
            <w:tcW w:w="5465" w:type="dxa"/>
          </w:tcPr>
          <w:p w14:paraId="5474F6D9" w14:textId="77777777" w:rsidR="00FA67D2" w:rsidRDefault="00C91F95">
            <w:pPr>
              <w:pStyle w:val="TableParagraph"/>
              <w:spacing w:before="40"/>
              <w:ind w:left="115" w:right="1014"/>
            </w:pPr>
            <w:r>
              <w:t>Failure to prepare, maintain, or update required contingency plans</w:t>
            </w:r>
          </w:p>
        </w:tc>
        <w:tc>
          <w:tcPr>
            <w:tcW w:w="2391" w:type="dxa"/>
            <w:vMerge/>
            <w:tcBorders>
              <w:top w:val="nil"/>
            </w:tcBorders>
          </w:tcPr>
          <w:p w14:paraId="262EC2E4" w14:textId="77777777" w:rsidR="00FA67D2" w:rsidRDefault="00FA67D2" w:rsidP="008368F1">
            <w:pPr>
              <w:jc w:val="center"/>
              <w:rPr>
                <w:sz w:val="2"/>
                <w:szCs w:val="2"/>
              </w:rPr>
            </w:pPr>
          </w:p>
        </w:tc>
        <w:tc>
          <w:tcPr>
            <w:tcW w:w="1736" w:type="dxa"/>
            <w:vMerge/>
            <w:tcBorders>
              <w:top w:val="nil"/>
            </w:tcBorders>
          </w:tcPr>
          <w:p w14:paraId="6AF7796B" w14:textId="77777777" w:rsidR="00FA67D2" w:rsidRDefault="00FA67D2" w:rsidP="008368F1">
            <w:pPr>
              <w:jc w:val="center"/>
              <w:rPr>
                <w:sz w:val="2"/>
                <w:szCs w:val="2"/>
              </w:rPr>
            </w:pPr>
          </w:p>
        </w:tc>
      </w:tr>
      <w:tr w:rsidR="00FA67D2" w14:paraId="5CC581DC" w14:textId="77777777">
        <w:trPr>
          <w:trHeight w:val="743"/>
        </w:trPr>
        <w:tc>
          <w:tcPr>
            <w:tcW w:w="5465" w:type="dxa"/>
          </w:tcPr>
          <w:p w14:paraId="3BFF4BCA" w14:textId="77777777" w:rsidR="00FA67D2" w:rsidRDefault="00C91F95">
            <w:pPr>
              <w:pStyle w:val="TableParagraph"/>
              <w:spacing w:before="40"/>
              <w:ind w:left="114" w:right="187"/>
            </w:pPr>
            <w:r>
              <w:t>Failure to adequately respond to emergencies to bring an emergency situation under control</w:t>
            </w:r>
          </w:p>
        </w:tc>
        <w:tc>
          <w:tcPr>
            <w:tcW w:w="2391" w:type="dxa"/>
            <w:vMerge/>
            <w:tcBorders>
              <w:top w:val="nil"/>
            </w:tcBorders>
          </w:tcPr>
          <w:p w14:paraId="4C0B5EBF" w14:textId="77777777" w:rsidR="00FA67D2" w:rsidRDefault="00FA67D2" w:rsidP="008368F1">
            <w:pPr>
              <w:jc w:val="center"/>
              <w:rPr>
                <w:sz w:val="2"/>
                <w:szCs w:val="2"/>
              </w:rPr>
            </w:pPr>
          </w:p>
        </w:tc>
        <w:tc>
          <w:tcPr>
            <w:tcW w:w="1736" w:type="dxa"/>
            <w:vMerge/>
            <w:tcBorders>
              <w:top w:val="nil"/>
            </w:tcBorders>
          </w:tcPr>
          <w:p w14:paraId="6B3EA179" w14:textId="77777777" w:rsidR="00FA67D2" w:rsidRDefault="00FA67D2" w:rsidP="008368F1">
            <w:pPr>
              <w:jc w:val="center"/>
              <w:rPr>
                <w:sz w:val="2"/>
                <w:szCs w:val="2"/>
              </w:rPr>
            </w:pPr>
          </w:p>
        </w:tc>
      </w:tr>
      <w:tr w:rsidR="00FA67D2" w14:paraId="12ABCCE5" w14:textId="77777777">
        <w:trPr>
          <w:trHeight w:val="474"/>
        </w:trPr>
        <w:tc>
          <w:tcPr>
            <w:tcW w:w="5465" w:type="dxa"/>
          </w:tcPr>
          <w:p w14:paraId="2013CC23" w14:textId="77777777" w:rsidR="00FA67D2" w:rsidRDefault="00C91F95">
            <w:pPr>
              <w:pStyle w:val="TableParagraph"/>
              <w:spacing w:before="40"/>
              <w:ind w:left="115"/>
            </w:pPr>
            <w:r>
              <w:t>Failure to submit required notification to the Department</w:t>
            </w:r>
          </w:p>
        </w:tc>
        <w:tc>
          <w:tcPr>
            <w:tcW w:w="2391" w:type="dxa"/>
            <w:vMerge/>
            <w:tcBorders>
              <w:top w:val="nil"/>
            </w:tcBorders>
          </w:tcPr>
          <w:p w14:paraId="328B0DD1" w14:textId="77777777" w:rsidR="00FA67D2" w:rsidRDefault="00FA67D2" w:rsidP="008368F1">
            <w:pPr>
              <w:jc w:val="center"/>
              <w:rPr>
                <w:sz w:val="2"/>
                <w:szCs w:val="2"/>
              </w:rPr>
            </w:pPr>
          </w:p>
        </w:tc>
        <w:tc>
          <w:tcPr>
            <w:tcW w:w="1736" w:type="dxa"/>
            <w:vMerge/>
            <w:tcBorders>
              <w:top w:val="nil"/>
            </w:tcBorders>
          </w:tcPr>
          <w:p w14:paraId="1B9DE01F" w14:textId="77777777" w:rsidR="00FA67D2" w:rsidRDefault="00FA67D2" w:rsidP="008368F1">
            <w:pPr>
              <w:jc w:val="center"/>
              <w:rPr>
                <w:sz w:val="2"/>
                <w:szCs w:val="2"/>
              </w:rPr>
            </w:pPr>
          </w:p>
        </w:tc>
      </w:tr>
    </w:tbl>
    <w:p w14:paraId="63E0398B" w14:textId="77777777" w:rsidR="00FA67D2" w:rsidRDefault="00FA67D2">
      <w:pPr>
        <w:rPr>
          <w:sz w:val="2"/>
          <w:szCs w:val="2"/>
        </w:rPr>
        <w:sectPr w:rsidR="00FA67D2">
          <w:headerReference w:type="default" r:id="rId10"/>
          <w:footerReference w:type="default" r:id="rId11"/>
          <w:type w:val="continuous"/>
          <w:pgSz w:w="12240" w:h="15840"/>
          <w:pgMar w:top="1320" w:right="1200" w:bottom="1160" w:left="1220" w:header="733" w:footer="967" w:gutter="0"/>
          <w:cols w:space="720"/>
        </w:sectPr>
      </w:pPr>
    </w:p>
    <w:p w14:paraId="2C0C66DC" w14:textId="77777777" w:rsidR="00FA67D2" w:rsidRDefault="00FA67D2">
      <w:pPr>
        <w:pStyle w:val="BodyText"/>
        <w:spacing w:before="6"/>
        <w:rPr>
          <w:sz w:val="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65"/>
        <w:gridCol w:w="2391"/>
        <w:gridCol w:w="1736"/>
      </w:tblGrid>
      <w:tr w:rsidR="00FA67D2" w14:paraId="6FB08C40" w14:textId="77777777">
        <w:trPr>
          <w:trHeight w:val="474"/>
        </w:trPr>
        <w:tc>
          <w:tcPr>
            <w:tcW w:w="5465" w:type="dxa"/>
            <w:shd w:val="clear" w:color="auto" w:fill="DCC695"/>
          </w:tcPr>
          <w:p w14:paraId="72D2C5D5" w14:textId="77777777" w:rsidR="00FA67D2" w:rsidRDefault="00C91F95">
            <w:pPr>
              <w:pStyle w:val="TableParagraph"/>
              <w:spacing w:before="40"/>
              <w:ind w:left="1363"/>
              <w:rPr>
                <w:b/>
              </w:rPr>
            </w:pPr>
            <w:r>
              <w:rPr>
                <w:b/>
              </w:rPr>
              <w:t>Violation (statutory language)</w:t>
            </w:r>
          </w:p>
        </w:tc>
        <w:tc>
          <w:tcPr>
            <w:tcW w:w="2391" w:type="dxa"/>
            <w:shd w:val="clear" w:color="auto" w:fill="DCC695"/>
          </w:tcPr>
          <w:p w14:paraId="1AFC7A43" w14:textId="77777777" w:rsidR="00FA67D2" w:rsidRDefault="00C91F95">
            <w:pPr>
              <w:pStyle w:val="TableParagraph"/>
              <w:spacing w:before="40"/>
              <w:ind w:left="589" w:right="582"/>
              <w:jc w:val="center"/>
              <w:rPr>
                <w:b/>
              </w:rPr>
            </w:pPr>
            <w:r>
              <w:rPr>
                <w:b/>
              </w:rPr>
              <w:t>Base Penalty</w:t>
            </w:r>
          </w:p>
        </w:tc>
        <w:tc>
          <w:tcPr>
            <w:tcW w:w="1736" w:type="dxa"/>
            <w:shd w:val="clear" w:color="auto" w:fill="DCC695"/>
          </w:tcPr>
          <w:p w14:paraId="62EB15CF" w14:textId="77777777" w:rsidR="00FA67D2" w:rsidRDefault="00C91F95">
            <w:pPr>
              <w:pStyle w:val="TableParagraph"/>
              <w:spacing w:before="40"/>
              <w:ind w:left="233" w:right="230"/>
              <w:jc w:val="center"/>
              <w:rPr>
                <w:b/>
              </w:rPr>
            </w:pPr>
            <w:r>
              <w:rPr>
                <w:b/>
              </w:rPr>
              <w:t>Cite (F.S.)</w:t>
            </w:r>
          </w:p>
        </w:tc>
      </w:tr>
      <w:tr w:rsidR="00FA67D2" w14:paraId="6FE067E5" w14:textId="77777777">
        <w:trPr>
          <w:trHeight w:val="743"/>
        </w:trPr>
        <w:tc>
          <w:tcPr>
            <w:tcW w:w="5465" w:type="dxa"/>
          </w:tcPr>
          <w:p w14:paraId="63015C39" w14:textId="05137B3E" w:rsidR="00FA67D2" w:rsidRDefault="00C91F95">
            <w:pPr>
              <w:pStyle w:val="TableParagraph"/>
              <w:spacing w:before="40"/>
              <w:ind w:left="115" w:right="616"/>
            </w:pPr>
            <w:r>
              <w:t xml:space="preserve">Failure to prepare, submit, maintain, </w:t>
            </w:r>
            <w:r w:rsidR="006D7F1F">
              <w:t xml:space="preserve">post, </w:t>
            </w:r>
            <w:r>
              <w:t>or use required reports or other required documentation</w:t>
            </w:r>
          </w:p>
        </w:tc>
        <w:tc>
          <w:tcPr>
            <w:tcW w:w="2391" w:type="dxa"/>
          </w:tcPr>
          <w:p w14:paraId="463BE2FA" w14:textId="798C8B4B" w:rsidR="00FA67D2" w:rsidRDefault="00BB60D1" w:rsidP="008368F1">
            <w:pPr>
              <w:pStyle w:val="TableParagraph"/>
              <w:spacing w:before="174"/>
              <w:ind w:right="578"/>
              <w:jc w:val="center"/>
            </w:pPr>
            <w:r>
              <w:t>$750</w:t>
            </w:r>
          </w:p>
        </w:tc>
        <w:tc>
          <w:tcPr>
            <w:tcW w:w="1736" w:type="dxa"/>
          </w:tcPr>
          <w:p w14:paraId="027F7CB9" w14:textId="77777777" w:rsidR="00FA67D2" w:rsidRDefault="00C91F95">
            <w:pPr>
              <w:pStyle w:val="TableParagraph"/>
              <w:spacing w:before="174"/>
              <w:ind w:left="237" w:right="230"/>
              <w:jc w:val="center"/>
            </w:pPr>
            <w:r>
              <w:t>403.121(4)(f)</w:t>
            </w:r>
          </w:p>
        </w:tc>
      </w:tr>
      <w:tr w:rsidR="00FA67D2" w14:paraId="7C80323C" w14:textId="77777777">
        <w:trPr>
          <w:trHeight w:val="743"/>
        </w:trPr>
        <w:tc>
          <w:tcPr>
            <w:tcW w:w="5465" w:type="dxa"/>
          </w:tcPr>
          <w:p w14:paraId="0EFEC039" w14:textId="77777777" w:rsidR="00FA67D2" w:rsidRDefault="00C91F95">
            <w:pPr>
              <w:pStyle w:val="TableParagraph"/>
              <w:spacing w:before="40"/>
              <w:ind w:left="115" w:right="139"/>
            </w:pPr>
            <w:r>
              <w:t>Failure to comply with any other Departmental regulatory statute or rule requirement</w:t>
            </w:r>
          </w:p>
        </w:tc>
        <w:tc>
          <w:tcPr>
            <w:tcW w:w="2391" w:type="dxa"/>
          </w:tcPr>
          <w:p w14:paraId="5E20F0D8" w14:textId="1FC8B6D5" w:rsidR="00FA67D2" w:rsidRDefault="00BB60D1" w:rsidP="008368F1">
            <w:pPr>
              <w:pStyle w:val="TableParagraph"/>
              <w:spacing w:before="174"/>
              <w:ind w:right="579"/>
              <w:jc w:val="center"/>
            </w:pPr>
            <w:r>
              <w:t>$1,000</w:t>
            </w:r>
          </w:p>
        </w:tc>
        <w:tc>
          <w:tcPr>
            <w:tcW w:w="1736" w:type="dxa"/>
          </w:tcPr>
          <w:p w14:paraId="30C479C4" w14:textId="77777777" w:rsidR="00FA67D2" w:rsidRDefault="00C91F95">
            <w:pPr>
              <w:pStyle w:val="TableParagraph"/>
              <w:spacing w:before="174"/>
              <w:ind w:left="237" w:right="230"/>
              <w:jc w:val="center"/>
            </w:pPr>
            <w:r>
              <w:t>403.121(5)</w:t>
            </w:r>
          </w:p>
        </w:tc>
      </w:tr>
    </w:tbl>
    <w:p w14:paraId="5D14266D" w14:textId="77777777" w:rsidR="00FA67D2" w:rsidRDefault="00FA67D2">
      <w:pPr>
        <w:pStyle w:val="BodyText"/>
        <w:rPr>
          <w:sz w:val="20"/>
        </w:rPr>
      </w:pPr>
    </w:p>
    <w:p w14:paraId="6912FC89" w14:textId="77777777" w:rsidR="00FA67D2" w:rsidRDefault="00FA67D2">
      <w:pPr>
        <w:pStyle w:val="BodyText"/>
        <w:spacing w:before="3"/>
        <w:rPr>
          <w:sz w:val="18"/>
        </w:rPr>
      </w:pPr>
    </w:p>
    <w:p w14:paraId="186F04EA" w14:textId="77777777" w:rsidR="00FA67D2" w:rsidRDefault="00C91F95">
      <w:pPr>
        <w:pStyle w:val="Heading1"/>
        <w:spacing w:before="44"/>
        <w:jc w:val="both"/>
      </w:pPr>
      <w:r>
        <w:t>Multi-Day Penalties and Adjustment Factors</w:t>
      </w:r>
    </w:p>
    <w:p w14:paraId="761C431F" w14:textId="77777777" w:rsidR="00FA67D2" w:rsidRDefault="00C91F95">
      <w:pPr>
        <w:pStyle w:val="BodyText"/>
        <w:spacing w:before="169" w:line="276" w:lineRule="auto"/>
        <w:ind w:left="219" w:right="595"/>
        <w:jc w:val="both"/>
      </w:pPr>
      <w:r>
        <w:t>DEP Directive 923 discusses when and how to assess multi-day penalties. The directive also sets out various adjustment factors to be used when calculating a penalty based on the matrix. These factors include:</w:t>
      </w:r>
    </w:p>
    <w:p w14:paraId="3547EC5B" w14:textId="77777777" w:rsidR="00FA67D2" w:rsidRDefault="00C91F95">
      <w:pPr>
        <w:pStyle w:val="ListParagraph"/>
        <w:numPr>
          <w:ilvl w:val="0"/>
          <w:numId w:val="9"/>
        </w:numPr>
        <w:tabs>
          <w:tab w:val="left" w:pos="939"/>
          <w:tab w:val="left" w:pos="941"/>
        </w:tabs>
        <w:spacing w:before="120"/>
        <w:ind w:hanging="362"/>
      </w:pPr>
      <w:r>
        <w:t>Knowing, deliberate, or chronic</w:t>
      </w:r>
      <w:r>
        <w:rPr>
          <w:spacing w:val="-5"/>
        </w:rPr>
        <w:t xml:space="preserve"> </w:t>
      </w:r>
      <w:r>
        <w:t>violations.</w:t>
      </w:r>
    </w:p>
    <w:p w14:paraId="23432EB6" w14:textId="77777777" w:rsidR="00FA67D2" w:rsidRDefault="00C91F95">
      <w:pPr>
        <w:pStyle w:val="ListParagraph"/>
        <w:numPr>
          <w:ilvl w:val="0"/>
          <w:numId w:val="9"/>
        </w:numPr>
        <w:tabs>
          <w:tab w:val="left" w:pos="939"/>
          <w:tab w:val="left" w:pos="941"/>
        </w:tabs>
        <w:spacing w:before="41" w:line="273" w:lineRule="auto"/>
        <w:ind w:right="753"/>
      </w:pPr>
      <w:r>
        <w:t>Good faith efforts to comply (or lack of good faith efforts to comply) either prior to or after Department discovery of the</w:t>
      </w:r>
      <w:r>
        <w:rPr>
          <w:spacing w:val="-4"/>
        </w:rPr>
        <w:t xml:space="preserve"> </w:t>
      </w:r>
      <w:r>
        <w:t>violation.</w:t>
      </w:r>
    </w:p>
    <w:p w14:paraId="6363B2D0" w14:textId="77777777" w:rsidR="00FA67D2" w:rsidRDefault="00C91F95">
      <w:pPr>
        <w:pStyle w:val="ListParagraph"/>
        <w:numPr>
          <w:ilvl w:val="0"/>
          <w:numId w:val="9"/>
        </w:numPr>
        <w:tabs>
          <w:tab w:val="left" w:pos="939"/>
          <w:tab w:val="left" w:pos="941"/>
        </w:tabs>
        <w:ind w:hanging="362"/>
      </w:pPr>
      <w:r>
        <w:t>History of</w:t>
      </w:r>
      <w:r>
        <w:rPr>
          <w:spacing w:val="-5"/>
        </w:rPr>
        <w:t xml:space="preserve"> </w:t>
      </w:r>
      <w:r>
        <w:t>noncompliance.</w:t>
      </w:r>
    </w:p>
    <w:p w14:paraId="02CFC655" w14:textId="77777777" w:rsidR="00FA67D2" w:rsidRDefault="00C91F95">
      <w:pPr>
        <w:pStyle w:val="ListParagraph"/>
        <w:numPr>
          <w:ilvl w:val="0"/>
          <w:numId w:val="9"/>
        </w:numPr>
        <w:tabs>
          <w:tab w:val="left" w:pos="939"/>
          <w:tab w:val="left" w:pos="941"/>
        </w:tabs>
        <w:spacing w:before="41"/>
        <w:ind w:hanging="362"/>
      </w:pPr>
      <w:r>
        <w:t>Economic benefit of</w:t>
      </w:r>
      <w:r>
        <w:rPr>
          <w:spacing w:val="-3"/>
        </w:rPr>
        <w:t xml:space="preserve"> </w:t>
      </w:r>
      <w:r>
        <w:t>noncompliance.</w:t>
      </w:r>
    </w:p>
    <w:p w14:paraId="77F86C83" w14:textId="56242695" w:rsidR="00FA67D2" w:rsidRDefault="00C91F95">
      <w:pPr>
        <w:pStyle w:val="ListParagraph"/>
        <w:numPr>
          <w:ilvl w:val="0"/>
          <w:numId w:val="9"/>
        </w:numPr>
        <w:tabs>
          <w:tab w:val="left" w:pos="939"/>
          <w:tab w:val="left" w:pos="941"/>
        </w:tabs>
        <w:spacing w:before="39"/>
        <w:ind w:hanging="362"/>
      </w:pPr>
      <w:r>
        <w:t>Ability to</w:t>
      </w:r>
      <w:r>
        <w:rPr>
          <w:spacing w:val="1"/>
        </w:rPr>
        <w:t xml:space="preserve"> </w:t>
      </w:r>
      <w:r>
        <w:t>pay.</w:t>
      </w:r>
    </w:p>
    <w:p w14:paraId="43E91452" w14:textId="57AFC398" w:rsidR="005616B1" w:rsidRDefault="005616B1">
      <w:pPr>
        <w:pStyle w:val="ListParagraph"/>
        <w:numPr>
          <w:ilvl w:val="0"/>
          <w:numId w:val="9"/>
        </w:numPr>
        <w:tabs>
          <w:tab w:val="left" w:pos="939"/>
          <w:tab w:val="left" w:pos="941"/>
        </w:tabs>
        <w:spacing w:before="39"/>
        <w:ind w:hanging="362"/>
      </w:pPr>
      <w:r>
        <w:t>Other unique factors.</w:t>
      </w:r>
    </w:p>
    <w:p w14:paraId="3388DA00" w14:textId="77777777" w:rsidR="00FA67D2" w:rsidRDefault="00C91F95">
      <w:pPr>
        <w:pStyle w:val="BodyText"/>
        <w:spacing w:before="159"/>
        <w:ind w:left="220"/>
        <w:jc w:val="both"/>
      </w:pPr>
      <w:r>
        <w:t>"Other Unique Factors" for NPDES stormwater violations include:</w:t>
      </w:r>
    </w:p>
    <w:p w14:paraId="241FF12B" w14:textId="77777777" w:rsidR="00FA67D2" w:rsidRDefault="00C91F95">
      <w:pPr>
        <w:pStyle w:val="ListParagraph"/>
        <w:numPr>
          <w:ilvl w:val="0"/>
          <w:numId w:val="9"/>
        </w:numPr>
        <w:tabs>
          <w:tab w:val="left" w:pos="940"/>
          <w:tab w:val="left" w:pos="941"/>
        </w:tabs>
        <w:spacing w:before="161" w:line="273" w:lineRule="auto"/>
        <w:ind w:right="365"/>
      </w:pPr>
      <w:r>
        <w:t>Resource considerations—Is the receiving water an Outstanding Florida Water or Aquatic Preserve? Is it a Class I or Class II water body? Is it an impaired water body with an established or adopted total maximum daily load (TMDL) for one or more</w:t>
      </w:r>
      <w:r>
        <w:rPr>
          <w:spacing w:val="-18"/>
        </w:rPr>
        <w:t xml:space="preserve"> </w:t>
      </w:r>
      <w:r>
        <w:t>pollutants?</w:t>
      </w:r>
    </w:p>
    <w:p w14:paraId="7873B6D0" w14:textId="77777777" w:rsidR="00FA67D2" w:rsidRDefault="00C91F95">
      <w:pPr>
        <w:pStyle w:val="ListParagraph"/>
        <w:numPr>
          <w:ilvl w:val="0"/>
          <w:numId w:val="9"/>
        </w:numPr>
        <w:tabs>
          <w:tab w:val="left" w:pos="940"/>
          <w:tab w:val="left" w:pos="941"/>
        </w:tabs>
        <w:spacing w:before="8" w:line="273" w:lineRule="auto"/>
        <w:ind w:right="338"/>
      </w:pPr>
      <w:r>
        <w:t>Frequent ownership changes—Did the problem result from new owners not fully aware of their permit requirements? Were the previous owners responsible for the</w:t>
      </w:r>
      <w:r>
        <w:rPr>
          <w:spacing w:val="-8"/>
        </w:rPr>
        <w:t xml:space="preserve"> </w:t>
      </w:r>
      <w:r>
        <w:t>violations?</w:t>
      </w:r>
    </w:p>
    <w:p w14:paraId="0A39529C" w14:textId="77777777" w:rsidR="00FA67D2" w:rsidRDefault="00C91F95">
      <w:pPr>
        <w:pStyle w:val="ListParagraph"/>
        <w:numPr>
          <w:ilvl w:val="0"/>
          <w:numId w:val="9"/>
        </w:numPr>
        <w:tabs>
          <w:tab w:val="left" w:pos="940"/>
          <w:tab w:val="left" w:pos="941"/>
        </w:tabs>
        <w:spacing w:line="276" w:lineRule="auto"/>
        <w:ind w:right="693"/>
      </w:pPr>
      <w:r>
        <w:t>Multiple responsible parties—Were the developers, subcontractors, property owners, or all parties responsible for the</w:t>
      </w:r>
      <w:r>
        <w:rPr>
          <w:spacing w:val="-7"/>
        </w:rPr>
        <w:t xml:space="preserve"> </w:t>
      </w:r>
      <w:r>
        <w:t>violation?</w:t>
      </w:r>
    </w:p>
    <w:p w14:paraId="5422E6B0" w14:textId="77777777" w:rsidR="00FA67D2" w:rsidRDefault="00C91F95">
      <w:pPr>
        <w:pStyle w:val="ListParagraph"/>
        <w:numPr>
          <w:ilvl w:val="0"/>
          <w:numId w:val="9"/>
        </w:numPr>
        <w:tabs>
          <w:tab w:val="left" w:pos="940"/>
          <w:tab w:val="left" w:pos="941"/>
        </w:tabs>
        <w:spacing w:before="0" w:line="276" w:lineRule="auto"/>
        <w:ind w:right="448"/>
      </w:pPr>
      <w:r>
        <w:t>Construction project turnaround time—Has the project been completed and the soil stabilized before the penalty can be</w:t>
      </w:r>
      <w:r>
        <w:rPr>
          <w:spacing w:val="-6"/>
        </w:rPr>
        <w:t xml:space="preserve"> </w:t>
      </w:r>
      <w:r>
        <w:t>issued?</w:t>
      </w:r>
    </w:p>
    <w:p w14:paraId="59F8DABB" w14:textId="77777777" w:rsidR="00FA67D2" w:rsidRDefault="00C91F95">
      <w:pPr>
        <w:pStyle w:val="ListParagraph"/>
        <w:numPr>
          <w:ilvl w:val="0"/>
          <w:numId w:val="9"/>
        </w:numPr>
        <w:tabs>
          <w:tab w:val="left" w:pos="940"/>
          <w:tab w:val="left" w:pos="941"/>
        </w:tabs>
        <w:spacing w:before="1" w:line="276" w:lineRule="auto"/>
        <w:ind w:right="250"/>
      </w:pPr>
      <w:r>
        <w:t>The adjustment factors can be used in two ways. After determining the correct box according to the matrix factors (minor, moderate, or major), the adjustments can help determine whether to use the midpoint (default), low end, or high end of the penalty range.  In addition, after a penalty amount from the matrix has been determined, adjustment factors can be used to decrease or increase a penalty, down to zero or up to the statutory</w:t>
      </w:r>
      <w:r>
        <w:rPr>
          <w:spacing w:val="-15"/>
        </w:rPr>
        <w:t xml:space="preserve"> </w:t>
      </w:r>
      <w:r>
        <w:t>maximum.</w:t>
      </w:r>
    </w:p>
    <w:p w14:paraId="3AEC2E3F" w14:textId="77777777" w:rsidR="00FA67D2" w:rsidRDefault="00C91F95">
      <w:pPr>
        <w:pStyle w:val="Heading1"/>
        <w:spacing w:before="121"/>
        <w:jc w:val="both"/>
      </w:pPr>
      <w:r>
        <w:t>In-Kind Penalties and Pollution Prevention Projects</w:t>
      </w:r>
    </w:p>
    <w:p w14:paraId="11B6F976" w14:textId="77777777" w:rsidR="00FA67D2" w:rsidRDefault="00C91F95">
      <w:pPr>
        <w:pStyle w:val="BodyText"/>
        <w:spacing w:before="169"/>
        <w:ind w:left="220"/>
        <w:jc w:val="both"/>
      </w:pPr>
      <w:r>
        <w:t>In-Kind Penalties and Pollution Prevention Projects should be considered as provided in Directive 923.</w:t>
      </w:r>
    </w:p>
    <w:p w14:paraId="338CDDCA" w14:textId="77777777" w:rsidR="00FA67D2" w:rsidRDefault="00FA67D2">
      <w:pPr>
        <w:jc w:val="both"/>
        <w:sectPr w:rsidR="00FA67D2">
          <w:headerReference w:type="default" r:id="rId12"/>
          <w:footerReference w:type="default" r:id="rId13"/>
          <w:pgSz w:w="12240" w:h="15840"/>
          <w:pgMar w:top="1320" w:right="1200" w:bottom="1160" w:left="1220" w:header="733" w:footer="967" w:gutter="0"/>
          <w:pgNumType w:start="2"/>
          <w:cols w:space="720"/>
        </w:sectPr>
      </w:pPr>
    </w:p>
    <w:p w14:paraId="3E255185" w14:textId="77777777" w:rsidR="00FA67D2" w:rsidRDefault="00C91F95">
      <w:pPr>
        <w:pStyle w:val="Heading1"/>
        <w:spacing w:before="104"/>
      </w:pPr>
      <w:r>
        <w:lastRenderedPageBreak/>
        <w:t>Penalty Calculation Matrix</w:t>
      </w:r>
    </w:p>
    <w:p w14:paraId="38B52B91" w14:textId="77777777" w:rsidR="00FA67D2" w:rsidRDefault="00C91F95">
      <w:pPr>
        <w:pStyle w:val="Heading2"/>
        <w:spacing w:before="171"/>
      </w:pPr>
      <w:r>
        <w:t>Matrix Factor Considerations</w:t>
      </w:r>
    </w:p>
    <w:p w14:paraId="195521C2" w14:textId="77777777" w:rsidR="00FA67D2" w:rsidRDefault="00C91F95">
      <w:pPr>
        <w:pStyle w:val="BodyText"/>
        <w:spacing w:before="161" w:line="276" w:lineRule="auto"/>
        <w:ind w:left="220" w:right="263"/>
      </w:pPr>
      <w:r>
        <w:t>The Department’s Penalty Matrix for cases other than Potable Water, Hazardous Substances, or Hazardous Waste, found in Directive 923, is reproduced below. Below the matrix are tables identifying what types of violations fall into what range of the matrix. It is important to remember that to place a violation in the ‘Major’ category for Environmental Harm the violation must have actually resulted in pollution in a manner that represents a substantial threat to human health or the environment.</w:t>
      </w:r>
    </w:p>
    <w:p w14:paraId="71FCDF46" w14:textId="75DD7671" w:rsidR="00FA67D2" w:rsidRDefault="00C91F95">
      <w:pPr>
        <w:pStyle w:val="BodyText"/>
        <w:spacing w:before="1" w:line="276" w:lineRule="auto"/>
        <w:ind w:left="220" w:right="249" w:hanging="1"/>
      </w:pPr>
      <w:r>
        <w:t xml:space="preserve">Moderate violations are those violations that actually or are reasonably expected to result in pollution in a manner that represents a significant threat to human health or the environment. Minor violations </w:t>
      </w:r>
      <w:r>
        <w:rPr>
          <w:spacing w:val="-3"/>
        </w:rPr>
        <w:t xml:space="preserve">are </w:t>
      </w:r>
      <w:r>
        <w:t>those violations that actually or are reasonably expected to result in a minimal threat to human health or the</w:t>
      </w:r>
      <w:r>
        <w:rPr>
          <w:spacing w:val="-3"/>
        </w:rPr>
        <w:t xml:space="preserve"> </w:t>
      </w:r>
      <w:r>
        <w:t>environment.</w:t>
      </w:r>
    </w:p>
    <w:tbl>
      <w:tblPr>
        <w:tblStyle w:val="TableGrid"/>
        <w:tblW w:w="9591" w:type="dxa"/>
        <w:tblLook w:val="04A0" w:firstRow="1" w:lastRow="0" w:firstColumn="1" w:lastColumn="0" w:noHBand="0" w:noVBand="1"/>
      </w:tblPr>
      <w:tblGrid>
        <w:gridCol w:w="626"/>
        <w:gridCol w:w="1751"/>
        <w:gridCol w:w="2321"/>
        <w:gridCol w:w="2520"/>
        <w:gridCol w:w="2373"/>
      </w:tblGrid>
      <w:tr w:rsidR="00823B95" w:rsidRPr="00C76699" w14:paraId="343432F0" w14:textId="77777777" w:rsidTr="00DB7D71">
        <w:trPr>
          <w:trHeight w:val="313"/>
        </w:trPr>
        <w:tc>
          <w:tcPr>
            <w:tcW w:w="626" w:type="dxa"/>
            <w:vMerge w:val="restart"/>
          </w:tcPr>
          <w:p w14:paraId="5C26DF74" w14:textId="77777777" w:rsidR="00823B95" w:rsidRPr="00D90DA8" w:rsidRDefault="00823B95" w:rsidP="00DB7D71">
            <w:pPr>
              <w:spacing w:before="60" w:line="192" w:lineRule="auto"/>
              <w:jc w:val="center"/>
              <w:rPr>
                <w:lang w:val="es-CO"/>
              </w:rPr>
            </w:pPr>
            <w:bookmarkStart w:id="1" w:name="_Hlk46840085"/>
            <w:r w:rsidRPr="00D90DA8">
              <w:rPr>
                <w:lang w:val="es-CO"/>
              </w:rPr>
              <w:t>E</w:t>
            </w:r>
          </w:p>
          <w:p w14:paraId="5A575CA6" w14:textId="77777777" w:rsidR="00823B95" w:rsidRPr="00D90DA8" w:rsidRDefault="00823B95" w:rsidP="00DB7D71">
            <w:pPr>
              <w:spacing w:line="192" w:lineRule="auto"/>
              <w:jc w:val="center"/>
              <w:rPr>
                <w:lang w:val="es-CO"/>
              </w:rPr>
            </w:pPr>
            <w:r w:rsidRPr="00D90DA8">
              <w:rPr>
                <w:lang w:val="es-CO"/>
              </w:rPr>
              <w:t>N</w:t>
            </w:r>
          </w:p>
          <w:p w14:paraId="648A41A4" w14:textId="77777777" w:rsidR="00823B95" w:rsidRPr="00D90DA8" w:rsidRDefault="00823B95" w:rsidP="00DB7D71">
            <w:pPr>
              <w:spacing w:line="192" w:lineRule="auto"/>
              <w:jc w:val="center"/>
              <w:rPr>
                <w:lang w:val="es-CO"/>
              </w:rPr>
            </w:pPr>
            <w:r w:rsidRPr="00D90DA8">
              <w:rPr>
                <w:lang w:val="es-CO"/>
              </w:rPr>
              <w:t>V</w:t>
            </w:r>
          </w:p>
          <w:p w14:paraId="27051BA7" w14:textId="77777777" w:rsidR="00823B95" w:rsidRPr="00D90DA8" w:rsidRDefault="00823B95" w:rsidP="00DB7D71">
            <w:pPr>
              <w:spacing w:line="192" w:lineRule="auto"/>
              <w:jc w:val="center"/>
              <w:rPr>
                <w:lang w:val="es-CO"/>
              </w:rPr>
            </w:pPr>
            <w:r w:rsidRPr="00D90DA8">
              <w:rPr>
                <w:lang w:val="es-CO"/>
              </w:rPr>
              <w:t>I</w:t>
            </w:r>
          </w:p>
          <w:p w14:paraId="0A029ECD" w14:textId="77777777" w:rsidR="00823B95" w:rsidRPr="00D90DA8" w:rsidRDefault="00823B95" w:rsidP="00DB7D71">
            <w:pPr>
              <w:spacing w:line="192" w:lineRule="auto"/>
              <w:jc w:val="center"/>
              <w:rPr>
                <w:lang w:val="es-CO"/>
              </w:rPr>
            </w:pPr>
            <w:r w:rsidRPr="00D90DA8">
              <w:rPr>
                <w:lang w:val="es-CO"/>
              </w:rPr>
              <w:t>R</w:t>
            </w:r>
          </w:p>
          <w:p w14:paraId="2192DCBE" w14:textId="77777777" w:rsidR="00823B95" w:rsidRPr="00D90DA8" w:rsidRDefault="00823B95" w:rsidP="00DB7D71">
            <w:pPr>
              <w:spacing w:line="192" w:lineRule="auto"/>
              <w:jc w:val="center"/>
              <w:rPr>
                <w:lang w:val="es-CO"/>
              </w:rPr>
            </w:pPr>
            <w:r w:rsidRPr="00D90DA8">
              <w:rPr>
                <w:lang w:val="es-CO"/>
              </w:rPr>
              <w:t>O</w:t>
            </w:r>
          </w:p>
          <w:p w14:paraId="1A2B1654" w14:textId="77777777" w:rsidR="00823B95" w:rsidRPr="00D90DA8" w:rsidRDefault="00823B95" w:rsidP="00DB7D71">
            <w:pPr>
              <w:spacing w:line="192" w:lineRule="auto"/>
              <w:jc w:val="center"/>
              <w:rPr>
                <w:lang w:val="es-CO"/>
              </w:rPr>
            </w:pPr>
            <w:r w:rsidRPr="00D90DA8">
              <w:rPr>
                <w:lang w:val="es-CO"/>
              </w:rPr>
              <w:t>N</w:t>
            </w:r>
          </w:p>
          <w:p w14:paraId="02045BED" w14:textId="77777777" w:rsidR="00823B95" w:rsidRPr="00D90DA8" w:rsidRDefault="00823B95" w:rsidP="00DB7D71">
            <w:pPr>
              <w:spacing w:line="192" w:lineRule="auto"/>
              <w:jc w:val="center"/>
              <w:rPr>
                <w:lang w:val="es-CO"/>
              </w:rPr>
            </w:pPr>
            <w:r w:rsidRPr="00D90DA8">
              <w:rPr>
                <w:lang w:val="es-CO"/>
              </w:rPr>
              <w:t>M</w:t>
            </w:r>
          </w:p>
          <w:p w14:paraId="7C474A8B" w14:textId="77777777" w:rsidR="00823B95" w:rsidRPr="00D90DA8" w:rsidRDefault="00823B95" w:rsidP="00DB7D71">
            <w:pPr>
              <w:spacing w:line="192" w:lineRule="auto"/>
              <w:jc w:val="center"/>
              <w:rPr>
                <w:lang w:val="es-CO"/>
              </w:rPr>
            </w:pPr>
            <w:r w:rsidRPr="00D90DA8">
              <w:rPr>
                <w:lang w:val="es-CO"/>
              </w:rPr>
              <w:t>E</w:t>
            </w:r>
          </w:p>
          <w:p w14:paraId="5603A039" w14:textId="77777777" w:rsidR="00823B95" w:rsidRPr="00D90DA8" w:rsidRDefault="00823B95" w:rsidP="00DB7D71">
            <w:pPr>
              <w:spacing w:line="192" w:lineRule="auto"/>
              <w:jc w:val="center"/>
              <w:rPr>
                <w:lang w:val="es-CO"/>
              </w:rPr>
            </w:pPr>
            <w:r w:rsidRPr="00D90DA8">
              <w:rPr>
                <w:lang w:val="es-CO"/>
              </w:rPr>
              <w:t>N</w:t>
            </w:r>
          </w:p>
          <w:p w14:paraId="6426807F" w14:textId="77777777" w:rsidR="00823B95" w:rsidRPr="00D90DA8" w:rsidRDefault="00823B95" w:rsidP="00DB7D71">
            <w:pPr>
              <w:spacing w:line="192" w:lineRule="auto"/>
              <w:jc w:val="center"/>
              <w:rPr>
                <w:lang w:val="es-CO"/>
              </w:rPr>
            </w:pPr>
            <w:r w:rsidRPr="00D90DA8">
              <w:rPr>
                <w:lang w:val="es-CO"/>
              </w:rPr>
              <w:t>T</w:t>
            </w:r>
          </w:p>
          <w:p w14:paraId="341C8784" w14:textId="77777777" w:rsidR="00823B95" w:rsidRPr="00C76699" w:rsidRDefault="00823B95" w:rsidP="00DB7D71">
            <w:pPr>
              <w:spacing w:line="192" w:lineRule="auto"/>
              <w:jc w:val="center"/>
            </w:pPr>
            <w:r w:rsidRPr="00C76699">
              <w:t>A</w:t>
            </w:r>
          </w:p>
          <w:p w14:paraId="4587A4B3" w14:textId="77777777" w:rsidR="00823B95" w:rsidRPr="00C76699" w:rsidRDefault="00823B95" w:rsidP="00DB7D71">
            <w:pPr>
              <w:spacing w:line="192" w:lineRule="auto"/>
              <w:jc w:val="center"/>
            </w:pPr>
            <w:r w:rsidRPr="00C76699">
              <w:t>L</w:t>
            </w:r>
          </w:p>
          <w:p w14:paraId="7FC64762" w14:textId="77777777" w:rsidR="00823B95" w:rsidRPr="00C76699" w:rsidRDefault="00823B95" w:rsidP="00DB7D71">
            <w:pPr>
              <w:spacing w:line="192" w:lineRule="auto"/>
              <w:jc w:val="center"/>
            </w:pPr>
          </w:p>
          <w:p w14:paraId="74AD6B11" w14:textId="77777777" w:rsidR="00823B95" w:rsidRPr="00C76699" w:rsidRDefault="00823B95" w:rsidP="00DB7D71">
            <w:pPr>
              <w:spacing w:line="192" w:lineRule="auto"/>
              <w:jc w:val="center"/>
            </w:pPr>
            <w:r w:rsidRPr="00C76699">
              <w:t>H</w:t>
            </w:r>
          </w:p>
          <w:p w14:paraId="3BF15DBE" w14:textId="77777777" w:rsidR="00823B95" w:rsidRPr="00C76699" w:rsidRDefault="00823B95" w:rsidP="00DB7D71">
            <w:pPr>
              <w:spacing w:line="192" w:lineRule="auto"/>
              <w:jc w:val="center"/>
            </w:pPr>
            <w:r w:rsidRPr="00C76699">
              <w:t>A</w:t>
            </w:r>
          </w:p>
          <w:p w14:paraId="35A61186" w14:textId="77777777" w:rsidR="00823B95" w:rsidRPr="00C76699" w:rsidRDefault="00823B95" w:rsidP="00DB7D71">
            <w:pPr>
              <w:spacing w:line="192" w:lineRule="auto"/>
              <w:jc w:val="center"/>
            </w:pPr>
            <w:r w:rsidRPr="00C76699">
              <w:t>R</w:t>
            </w:r>
          </w:p>
          <w:p w14:paraId="3EFB10CE" w14:textId="77777777" w:rsidR="00823B95" w:rsidRPr="00C76699" w:rsidRDefault="00823B95" w:rsidP="00DB7D71">
            <w:pPr>
              <w:spacing w:after="60" w:line="192" w:lineRule="auto"/>
              <w:jc w:val="center"/>
            </w:pPr>
            <w:r w:rsidRPr="00C76699">
              <w:t>M</w:t>
            </w:r>
          </w:p>
        </w:tc>
        <w:tc>
          <w:tcPr>
            <w:tcW w:w="8965" w:type="dxa"/>
            <w:gridSpan w:val="4"/>
          </w:tcPr>
          <w:p w14:paraId="40C0817B" w14:textId="16FB067C" w:rsidR="00823B95" w:rsidRPr="00C76699" w:rsidRDefault="00823B95" w:rsidP="00DB7D71">
            <w:pPr>
              <w:jc w:val="center"/>
            </w:pPr>
            <w:r w:rsidRPr="00C76699">
              <w:t>EXTENT OF DEVIATION FROM REQUIREMENT</w:t>
            </w:r>
          </w:p>
        </w:tc>
      </w:tr>
      <w:tr w:rsidR="00823B95" w:rsidRPr="00C76699" w14:paraId="7987EDFA" w14:textId="77777777" w:rsidTr="00DB7D71">
        <w:trPr>
          <w:trHeight w:val="323"/>
        </w:trPr>
        <w:tc>
          <w:tcPr>
            <w:tcW w:w="626" w:type="dxa"/>
            <w:vMerge/>
          </w:tcPr>
          <w:p w14:paraId="5192E034" w14:textId="77777777" w:rsidR="00823B95" w:rsidRPr="00C76699" w:rsidRDefault="00823B95" w:rsidP="00DB7D71">
            <w:pPr>
              <w:jc w:val="center"/>
            </w:pPr>
          </w:p>
        </w:tc>
        <w:tc>
          <w:tcPr>
            <w:tcW w:w="1751" w:type="dxa"/>
          </w:tcPr>
          <w:p w14:paraId="0AAFFB84" w14:textId="77777777" w:rsidR="00823B95" w:rsidRPr="00C76699" w:rsidRDefault="00823B95" w:rsidP="00DB7D71"/>
        </w:tc>
        <w:tc>
          <w:tcPr>
            <w:tcW w:w="2321" w:type="dxa"/>
          </w:tcPr>
          <w:p w14:paraId="1C50BB84" w14:textId="77777777" w:rsidR="00823B95" w:rsidRPr="00C76699" w:rsidRDefault="00823B95" w:rsidP="00DB7D71">
            <w:pPr>
              <w:jc w:val="center"/>
            </w:pPr>
            <w:r w:rsidRPr="00C76699">
              <w:t>MAJOR</w:t>
            </w:r>
          </w:p>
        </w:tc>
        <w:tc>
          <w:tcPr>
            <w:tcW w:w="2520" w:type="dxa"/>
          </w:tcPr>
          <w:p w14:paraId="60367225" w14:textId="77777777" w:rsidR="00823B95" w:rsidRPr="00C76699" w:rsidRDefault="00823B95" w:rsidP="00DB7D71">
            <w:pPr>
              <w:jc w:val="center"/>
            </w:pPr>
            <w:r w:rsidRPr="00C76699">
              <w:t>MODERATE</w:t>
            </w:r>
          </w:p>
        </w:tc>
        <w:tc>
          <w:tcPr>
            <w:tcW w:w="2373" w:type="dxa"/>
          </w:tcPr>
          <w:p w14:paraId="23C5E250" w14:textId="77777777" w:rsidR="00823B95" w:rsidRPr="00C76699" w:rsidRDefault="00823B95" w:rsidP="00DB7D71">
            <w:pPr>
              <w:jc w:val="center"/>
            </w:pPr>
            <w:r w:rsidRPr="00C76699">
              <w:t>MINOR</w:t>
            </w:r>
          </w:p>
        </w:tc>
      </w:tr>
      <w:tr w:rsidR="00823B95" w:rsidRPr="00C76699" w14:paraId="50232D10" w14:textId="77777777" w:rsidTr="00DB7D71">
        <w:trPr>
          <w:trHeight w:val="1070"/>
        </w:trPr>
        <w:tc>
          <w:tcPr>
            <w:tcW w:w="626" w:type="dxa"/>
            <w:vMerge/>
          </w:tcPr>
          <w:p w14:paraId="6EC184A2" w14:textId="77777777" w:rsidR="00823B95" w:rsidRPr="00C76699" w:rsidRDefault="00823B95" w:rsidP="00DB7D71">
            <w:pPr>
              <w:jc w:val="center"/>
            </w:pPr>
          </w:p>
        </w:tc>
        <w:tc>
          <w:tcPr>
            <w:tcW w:w="1751" w:type="dxa"/>
          </w:tcPr>
          <w:p w14:paraId="110A1B96" w14:textId="77777777" w:rsidR="00823B95" w:rsidRPr="00C76699" w:rsidRDefault="00823B95" w:rsidP="00DB7D71">
            <w:pPr>
              <w:jc w:val="center"/>
            </w:pPr>
          </w:p>
          <w:p w14:paraId="4BD11026" w14:textId="77777777" w:rsidR="00823B95" w:rsidRPr="00C76699" w:rsidRDefault="00823B95" w:rsidP="00DB7D71">
            <w:pPr>
              <w:spacing w:before="120"/>
              <w:jc w:val="center"/>
            </w:pPr>
            <w:r w:rsidRPr="00C76699">
              <w:t>MAJOR</w:t>
            </w:r>
          </w:p>
        </w:tc>
        <w:tc>
          <w:tcPr>
            <w:tcW w:w="2321" w:type="dxa"/>
          </w:tcPr>
          <w:p w14:paraId="2E6566A9" w14:textId="77777777" w:rsidR="00823B95" w:rsidRPr="00C76699" w:rsidRDefault="00823B95" w:rsidP="00DB7D71">
            <w:pPr>
              <w:spacing w:before="120"/>
              <w:jc w:val="center"/>
            </w:pPr>
            <w:r w:rsidRPr="00C76699">
              <w:t>$</w:t>
            </w:r>
            <w:r>
              <w:t>15,000</w:t>
            </w:r>
          </w:p>
          <w:p w14:paraId="0320279B" w14:textId="77777777" w:rsidR="00823B95" w:rsidRPr="00C76699" w:rsidRDefault="00823B95" w:rsidP="00DB7D71">
            <w:pPr>
              <w:jc w:val="center"/>
            </w:pPr>
            <w:r w:rsidRPr="00C76699">
              <w:t>to</w:t>
            </w:r>
          </w:p>
          <w:p w14:paraId="039C205B" w14:textId="77777777" w:rsidR="00823B95" w:rsidRPr="00C76699" w:rsidRDefault="00823B95" w:rsidP="00DB7D71">
            <w:pPr>
              <w:jc w:val="center"/>
            </w:pPr>
            <w:r w:rsidRPr="00C76699">
              <w:t>$</w:t>
            </w:r>
            <w:r>
              <w:t>12,000</w:t>
            </w:r>
          </w:p>
        </w:tc>
        <w:tc>
          <w:tcPr>
            <w:tcW w:w="2520" w:type="dxa"/>
          </w:tcPr>
          <w:p w14:paraId="1791FBA2" w14:textId="77777777" w:rsidR="00823B95" w:rsidRPr="00C76699" w:rsidRDefault="00823B95" w:rsidP="00DB7D71">
            <w:pPr>
              <w:spacing w:before="120"/>
              <w:jc w:val="center"/>
            </w:pPr>
            <w:r w:rsidRPr="00C76699">
              <w:t>$</w:t>
            </w:r>
            <w:r>
              <w:t>11,999</w:t>
            </w:r>
          </w:p>
          <w:p w14:paraId="566F45A4" w14:textId="77777777" w:rsidR="00823B95" w:rsidRPr="00C76699" w:rsidRDefault="00823B95" w:rsidP="00DB7D71">
            <w:pPr>
              <w:jc w:val="center"/>
            </w:pPr>
            <w:r w:rsidRPr="00C76699">
              <w:t>to</w:t>
            </w:r>
          </w:p>
          <w:p w14:paraId="05CF8055" w14:textId="77777777" w:rsidR="00823B95" w:rsidRPr="00C76699" w:rsidRDefault="00823B95" w:rsidP="00DB7D71">
            <w:pPr>
              <w:jc w:val="center"/>
            </w:pPr>
            <w:r w:rsidRPr="00C76699">
              <w:t>$</w:t>
            </w:r>
            <w:r>
              <w:t>9,000</w:t>
            </w:r>
          </w:p>
        </w:tc>
        <w:tc>
          <w:tcPr>
            <w:tcW w:w="2373" w:type="dxa"/>
          </w:tcPr>
          <w:p w14:paraId="047AED49" w14:textId="77777777" w:rsidR="00823B95" w:rsidRPr="00C76699" w:rsidRDefault="00823B95" w:rsidP="00DB7D71">
            <w:pPr>
              <w:spacing w:before="120"/>
              <w:jc w:val="center"/>
            </w:pPr>
            <w:r w:rsidRPr="00C76699">
              <w:t>$</w:t>
            </w:r>
            <w:r>
              <w:t>8,999</w:t>
            </w:r>
          </w:p>
          <w:p w14:paraId="7AEDCA08" w14:textId="77777777" w:rsidR="00823B95" w:rsidRPr="00C76699" w:rsidRDefault="00823B95" w:rsidP="00DB7D71">
            <w:pPr>
              <w:jc w:val="center"/>
            </w:pPr>
            <w:r w:rsidRPr="00C76699">
              <w:t>to</w:t>
            </w:r>
          </w:p>
          <w:p w14:paraId="0F6C7DCF" w14:textId="77777777" w:rsidR="00823B95" w:rsidRPr="00C76699" w:rsidRDefault="00823B95" w:rsidP="00DB7D71">
            <w:pPr>
              <w:jc w:val="center"/>
            </w:pPr>
            <w:r w:rsidRPr="00C76699">
              <w:t>$</w:t>
            </w:r>
            <w:r>
              <w:t>6,900</w:t>
            </w:r>
          </w:p>
        </w:tc>
      </w:tr>
      <w:tr w:rsidR="00823B95" w:rsidRPr="00C76699" w14:paraId="58849DAF" w14:textId="77777777" w:rsidTr="00DB7D71">
        <w:trPr>
          <w:trHeight w:val="1196"/>
        </w:trPr>
        <w:tc>
          <w:tcPr>
            <w:tcW w:w="626" w:type="dxa"/>
            <w:vMerge/>
          </w:tcPr>
          <w:p w14:paraId="7084A7DC" w14:textId="77777777" w:rsidR="00823B95" w:rsidRPr="00C76699" w:rsidRDefault="00823B95" w:rsidP="00DB7D71">
            <w:pPr>
              <w:jc w:val="center"/>
            </w:pPr>
          </w:p>
        </w:tc>
        <w:tc>
          <w:tcPr>
            <w:tcW w:w="1751" w:type="dxa"/>
          </w:tcPr>
          <w:p w14:paraId="2C289617" w14:textId="77777777" w:rsidR="00823B95" w:rsidRPr="00C76699" w:rsidRDefault="00823B95" w:rsidP="00DB7D71">
            <w:pPr>
              <w:jc w:val="center"/>
            </w:pPr>
          </w:p>
          <w:p w14:paraId="2C12AAE0" w14:textId="77777777" w:rsidR="00823B95" w:rsidRPr="00C76699" w:rsidRDefault="00823B95" w:rsidP="00DB7D71">
            <w:pPr>
              <w:spacing w:before="160"/>
              <w:jc w:val="center"/>
            </w:pPr>
            <w:r w:rsidRPr="00C76699">
              <w:t>MODERATE</w:t>
            </w:r>
          </w:p>
        </w:tc>
        <w:tc>
          <w:tcPr>
            <w:tcW w:w="2321" w:type="dxa"/>
          </w:tcPr>
          <w:p w14:paraId="633227E4" w14:textId="77777777" w:rsidR="00823B95" w:rsidRPr="00C76699" w:rsidRDefault="00823B95" w:rsidP="00DB7D71">
            <w:pPr>
              <w:spacing w:before="160"/>
              <w:jc w:val="center"/>
            </w:pPr>
            <w:r w:rsidRPr="00C76699">
              <w:t>$</w:t>
            </w:r>
            <w:r>
              <w:t>6,899</w:t>
            </w:r>
          </w:p>
          <w:p w14:paraId="163151D6" w14:textId="77777777" w:rsidR="00823B95" w:rsidRPr="00C76699" w:rsidRDefault="00823B95" w:rsidP="00DB7D71">
            <w:pPr>
              <w:jc w:val="center"/>
            </w:pPr>
            <w:r w:rsidRPr="00C76699">
              <w:t>to</w:t>
            </w:r>
          </w:p>
          <w:p w14:paraId="7D1D49D1" w14:textId="77777777" w:rsidR="00823B95" w:rsidRPr="00C76699" w:rsidRDefault="00823B95" w:rsidP="00DB7D71">
            <w:pPr>
              <w:jc w:val="center"/>
            </w:pPr>
            <w:r w:rsidRPr="00C76699">
              <w:t>$</w:t>
            </w:r>
            <w:r>
              <w:t>4,800</w:t>
            </w:r>
          </w:p>
        </w:tc>
        <w:tc>
          <w:tcPr>
            <w:tcW w:w="2520" w:type="dxa"/>
          </w:tcPr>
          <w:p w14:paraId="67A5D747" w14:textId="77777777" w:rsidR="00823B95" w:rsidRPr="00C76699" w:rsidRDefault="00823B95" w:rsidP="00DB7D71">
            <w:pPr>
              <w:spacing w:before="160"/>
              <w:jc w:val="center"/>
            </w:pPr>
            <w:r w:rsidRPr="00C76699">
              <w:t>$</w:t>
            </w:r>
            <w:r>
              <w:t>4,799</w:t>
            </w:r>
          </w:p>
          <w:p w14:paraId="60409E7A" w14:textId="77777777" w:rsidR="00823B95" w:rsidRPr="00C76699" w:rsidRDefault="00823B95" w:rsidP="00DB7D71">
            <w:pPr>
              <w:jc w:val="center"/>
            </w:pPr>
            <w:r w:rsidRPr="00C76699">
              <w:t>to</w:t>
            </w:r>
          </w:p>
          <w:p w14:paraId="2A0C8670" w14:textId="77777777" w:rsidR="00823B95" w:rsidRPr="00C76699" w:rsidRDefault="00823B95" w:rsidP="00DB7D71">
            <w:pPr>
              <w:jc w:val="center"/>
            </w:pPr>
            <w:r w:rsidRPr="00C76699">
              <w:t>$</w:t>
            </w:r>
            <w:r>
              <w:t>3,000</w:t>
            </w:r>
          </w:p>
        </w:tc>
        <w:tc>
          <w:tcPr>
            <w:tcW w:w="2373" w:type="dxa"/>
          </w:tcPr>
          <w:p w14:paraId="3D8E418B" w14:textId="77777777" w:rsidR="00823B95" w:rsidRPr="00C76699" w:rsidRDefault="00823B95" w:rsidP="00DB7D71">
            <w:pPr>
              <w:spacing w:before="160"/>
              <w:jc w:val="center"/>
            </w:pPr>
            <w:r>
              <w:t>$2,999</w:t>
            </w:r>
          </w:p>
          <w:p w14:paraId="15753695" w14:textId="77777777" w:rsidR="00823B95" w:rsidRPr="00C76699" w:rsidRDefault="00823B95" w:rsidP="00DB7D71">
            <w:pPr>
              <w:jc w:val="center"/>
            </w:pPr>
            <w:r w:rsidRPr="00C76699">
              <w:t>to</w:t>
            </w:r>
          </w:p>
          <w:p w14:paraId="4CBBB7BD" w14:textId="77777777" w:rsidR="00823B95" w:rsidRPr="00C76699" w:rsidRDefault="00823B95" w:rsidP="00DB7D71">
            <w:pPr>
              <w:jc w:val="center"/>
            </w:pPr>
            <w:r w:rsidRPr="00C76699">
              <w:t>$</w:t>
            </w:r>
            <w:r>
              <w:t>1,800</w:t>
            </w:r>
          </w:p>
        </w:tc>
      </w:tr>
      <w:tr w:rsidR="00823B95" w:rsidRPr="00C76699" w14:paraId="5782CBAA" w14:textId="77777777" w:rsidTr="00DB7D71">
        <w:trPr>
          <w:trHeight w:val="953"/>
        </w:trPr>
        <w:tc>
          <w:tcPr>
            <w:tcW w:w="626" w:type="dxa"/>
            <w:vMerge/>
          </w:tcPr>
          <w:p w14:paraId="72A21C1C" w14:textId="77777777" w:rsidR="00823B95" w:rsidRPr="00C76699" w:rsidRDefault="00823B95" w:rsidP="00DB7D71">
            <w:pPr>
              <w:jc w:val="center"/>
            </w:pPr>
          </w:p>
        </w:tc>
        <w:tc>
          <w:tcPr>
            <w:tcW w:w="1751" w:type="dxa"/>
          </w:tcPr>
          <w:p w14:paraId="501D60B2" w14:textId="77777777" w:rsidR="00823B95" w:rsidRPr="00C76699" w:rsidRDefault="00823B95" w:rsidP="00DB7D71">
            <w:pPr>
              <w:jc w:val="center"/>
            </w:pPr>
          </w:p>
          <w:p w14:paraId="121376B1" w14:textId="77777777" w:rsidR="00823B95" w:rsidRPr="00C76699" w:rsidRDefault="00823B95" w:rsidP="00DB7D71">
            <w:pPr>
              <w:spacing w:before="120"/>
              <w:jc w:val="center"/>
            </w:pPr>
            <w:r w:rsidRPr="00C76699">
              <w:t>MINOR</w:t>
            </w:r>
          </w:p>
        </w:tc>
        <w:tc>
          <w:tcPr>
            <w:tcW w:w="2321" w:type="dxa"/>
          </w:tcPr>
          <w:p w14:paraId="0FBD189B" w14:textId="77777777" w:rsidR="00823B95" w:rsidRPr="00C76699" w:rsidRDefault="00823B95" w:rsidP="00DB7D71">
            <w:pPr>
              <w:spacing w:before="120"/>
              <w:jc w:val="center"/>
            </w:pPr>
            <w:r w:rsidRPr="00C76699">
              <w:t>$</w:t>
            </w:r>
            <w:r>
              <w:t>1,799</w:t>
            </w:r>
          </w:p>
          <w:p w14:paraId="64659D8A" w14:textId="77777777" w:rsidR="00823B95" w:rsidRPr="00C76699" w:rsidRDefault="00823B95" w:rsidP="00DB7D71">
            <w:pPr>
              <w:jc w:val="center"/>
            </w:pPr>
            <w:r w:rsidRPr="00C76699">
              <w:t>to</w:t>
            </w:r>
          </w:p>
          <w:p w14:paraId="2959AFEB" w14:textId="77777777" w:rsidR="00823B95" w:rsidRPr="00C76699" w:rsidRDefault="00823B95" w:rsidP="00DB7D71">
            <w:pPr>
              <w:jc w:val="center"/>
            </w:pPr>
            <w:r w:rsidRPr="00C76699">
              <w:t>$</w:t>
            </w:r>
            <w:r>
              <w:t>750</w:t>
            </w:r>
          </w:p>
        </w:tc>
        <w:tc>
          <w:tcPr>
            <w:tcW w:w="2520" w:type="dxa"/>
          </w:tcPr>
          <w:p w14:paraId="70BE9CB7" w14:textId="77777777" w:rsidR="00823B95" w:rsidRDefault="00823B95" w:rsidP="00DB7D71">
            <w:pPr>
              <w:jc w:val="center"/>
            </w:pPr>
          </w:p>
          <w:p w14:paraId="5B8F0A38" w14:textId="6DED4956" w:rsidR="00823B95" w:rsidRPr="00C76699" w:rsidRDefault="00823B95" w:rsidP="00DB7D71">
            <w:pPr>
              <w:jc w:val="center"/>
            </w:pPr>
            <w:r w:rsidRPr="00C76699">
              <w:t>$</w:t>
            </w:r>
            <w:r>
              <w:t>750</w:t>
            </w:r>
            <w:r w:rsidRPr="00C76699">
              <w:t>*</w:t>
            </w:r>
          </w:p>
        </w:tc>
        <w:tc>
          <w:tcPr>
            <w:tcW w:w="2373" w:type="dxa"/>
          </w:tcPr>
          <w:p w14:paraId="1987FC5C" w14:textId="77777777" w:rsidR="00823B95" w:rsidRDefault="00823B95" w:rsidP="00DB7D71">
            <w:pPr>
              <w:jc w:val="center"/>
            </w:pPr>
          </w:p>
          <w:p w14:paraId="10E90C1F" w14:textId="432356E9" w:rsidR="00823B95" w:rsidRPr="00C76699" w:rsidRDefault="00823B95" w:rsidP="00DB7D71">
            <w:pPr>
              <w:jc w:val="center"/>
            </w:pPr>
            <w:r w:rsidRPr="00C76699">
              <w:t>$</w:t>
            </w:r>
            <w:r>
              <w:t>750</w:t>
            </w:r>
            <w:r w:rsidRPr="00C76699">
              <w:t>*</w:t>
            </w:r>
          </w:p>
        </w:tc>
      </w:tr>
      <w:bookmarkEnd w:id="1"/>
    </w:tbl>
    <w:p w14:paraId="0D0E6B6E" w14:textId="77777777" w:rsidR="00FA67D2" w:rsidRDefault="00FA67D2">
      <w:pPr>
        <w:pStyle w:val="BodyText"/>
        <w:spacing w:before="12"/>
        <w:rPr>
          <w:sz w:val="9"/>
        </w:rPr>
      </w:pPr>
    </w:p>
    <w:p w14:paraId="5F1422D8" w14:textId="2BA22D9E" w:rsidR="00FA67D2" w:rsidRDefault="00C91F95">
      <w:pPr>
        <w:pStyle w:val="BodyText"/>
        <w:ind w:left="220"/>
      </w:pPr>
      <w:r>
        <w:t>*</w:t>
      </w:r>
      <w:r w:rsidR="00A96476" w:rsidRPr="00A96476">
        <w:t xml:space="preserve"> </w:t>
      </w:r>
      <w:r w:rsidR="00A96476">
        <w:t>Environmental Education may be an acceptable substitute</w:t>
      </w:r>
    </w:p>
    <w:p w14:paraId="2289A471" w14:textId="77777777" w:rsidR="00FA67D2" w:rsidRDefault="00C91F95">
      <w:pPr>
        <w:pStyle w:val="Heading2"/>
        <w:spacing w:before="161"/>
      </w:pPr>
      <w:r>
        <w:t>Matrix Factors—Permit Violations</w:t>
      </w:r>
    </w:p>
    <w:p w14:paraId="15765314" w14:textId="77777777" w:rsidR="00FA67D2" w:rsidRDefault="00C91F95">
      <w:pPr>
        <w:pStyle w:val="BodyText"/>
        <w:spacing w:before="43" w:line="276" w:lineRule="auto"/>
        <w:ind w:left="220" w:right="263"/>
      </w:pPr>
      <w:r>
        <w:t>The potential for harm for permit violations is related to the type and size of the facility/site. The ex</w:t>
      </w:r>
      <w:bookmarkStart w:id="2" w:name="Matrix_Factors—Permit_Violations"/>
      <w:bookmarkEnd w:id="2"/>
      <w:r>
        <w:t>tent of deviation depends on whether the facility/site was operating without a permit or with an expired permit.</w:t>
      </w:r>
    </w:p>
    <w:p w14:paraId="775DD970" w14:textId="77777777" w:rsidR="00FA67D2" w:rsidRDefault="00FA67D2">
      <w:pPr>
        <w:pStyle w:val="BodyText"/>
        <w:spacing w:after="1"/>
        <w:rPr>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4"/>
        <w:gridCol w:w="4202"/>
        <w:gridCol w:w="3789"/>
      </w:tblGrid>
      <w:tr w:rsidR="00FA67D2" w14:paraId="7F57FB1E" w14:textId="77777777">
        <w:trPr>
          <w:trHeight w:val="474"/>
        </w:trPr>
        <w:tc>
          <w:tcPr>
            <w:tcW w:w="1584" w:type="dxa"/>
            <w:shd w:val="clear" w:color="auto" w:fill="C5A04F"/>
          </w:tcPr>
          <w:p w14:paraId="666BA036" w14:textId="77777777" w:rsidR="00FA67D2" w:rsidRDefault="00C91F95">
            <w:pPr>
              <w:pStyle w:val="TableParagraph"/>
              <w:spacing w:before="40"/>
              <w:ind w:left="175"/>
              <w:rPr>
                <w:b/>
              </w:rPr>
            </w:pPr>
            <w:r>
              <w:rPr>
                <w:b/>
              </w:rPr>
              <w:t>Matrix Factor</w:t>
            </w:r>
          </w:p>
        </w:tc>
        <w:tc>
          <w:tcPr>
            <w:tcW w:w="4202" w:type="dxa"/>
            <w:shd w:val="clear" w:color="auto" w:fill="DCC695"/>
          </w:tcPr>
          <w:p w14:paraId="49EE21A4" w14:textId="77777777" w:rsidR="00FA67D2" w:rsidRDefault="00C91F95">
            <w:pPr>
              <w:pStyle w:val="TableParagraph"/>
              <w:spacing w:before="40"/>
              <w:ind w:left="1151"/>
              <w:rPr>
                <w:b/>
              </w:rPr>
            </w:pPr>
            <w:r>
              <w:rPr>
                <w:b/>
              </w:rPr>
              <w:t>Environmental Harm</w:t>
            </w:r>
          </w:p>
        </w:tc>
        <w:tc>
          <w:tcPr>
            <w:tcW w:w="3789" w:type="dxa"/>
            <w:shd w:val="clear" w:color="auto" w:fill="DCC695"/>
          </w:tcPr>
          <w:p w14:paraId="4F8D6B3E" w14:textId="77777777" w:rsidR="00FA67D2" w:rsidRDefault="00C91F95">
            <w:pPr>
              <w:pStyle w:val="TableParagraph"/>
              <w:spacing w:before="40"/>
              <w:ind w:left="141"/>
              <w:rPr>
                <w:b/>
              </w:rPr>
            </w:pPr>
            <w:r>
              <w:rPr>
                <w:b/>
              </w:rPr>
              <w:t>Extent of Deviation from Requirement</w:t>
            </w:r>
          </w:p>
        </w:tc>
      </w:tr>
      <w:tr w:rsidR="00FA67D2" w14:paraId="798FCDE7" w14:textId="77777777">
        <w:trPr>
          <w:trHeight w:val="474"/>
        </w:trPr>
        <w:tc>
          <w:tcPr>
            <w:tcW w:w="1584" w:type="dxa"/>
            <w:shd w:val="clear" w:color="auto" w:fill="DCC695"/>
          </w:tcPr>
          <w:p w14:paraId="6D49A6AE" w14:textId="77777777" w:rsidR="00FA67D2" w:rsidRDefault="00C91F95">
            <w:pPr>
              <w:pStyle w:val="TableParagraph"/>
              <w:spacing w:before="40"/>
              <w:ind w:left="115"/>
              <w:rPr>
                <w:b/>
              </w:rPr>
            </w:pPr>
            <w:r>
              <w:rPr>
                <w:b/>
              </w:rPr>
              <w:t>Major</w:t>
            </w:r>
          </w:p>
        </w:tc>
        <w:tc>
          <w:tcPr>
            <w:tcW w:w="4202" w:type="dxa"/>
          </w:tcPr>
          <w:p w14:paraId="3D8C59EC" w14:textId="4DA855E7" w:rsidR="00FA67D2" w:rsidRPr="005B139E" w:rsidRDefault="00C91F95">
            <w:pPr>
              <w:pStyle w:val="TableParagraph"/>
              <w:spacing w:before="40"/>
              <w:ind w:left="115"/>
            </w:pPr>
            <w:r w:rsidRPr="005B139E">
              <w:t>Multiple required permits</w:t>
            </w:r>
            <w:r w:rsidR="0043283B" w:rsidRPr="005B139E">
              <w:t xml:space="preserve"> which caused significant harm</w:t>
            </w:r>
            <w:r w:rsidR="006A2FB9" w:rsidRPr="005B139E">
              <w:t xml:space="preserve"> to the environment or human health</w:t>
            </w:r>
          </w:p>
        </w:tc>
        <w:tc>
          <w:tcPr>
            <w:tcW w:w="3789" w:type="dxa"/>
          </w:tcPr>
          <w:p w14:paraId="4C627E30" w14:textId="77777777" w:rsidR="00FA67D2" w:rsidRDefault="00C91F95">
            <w:pPr>
              <w:pStyle w:val="TableParagraph"/>
              <w:spacing w:before="40"/>
              <w:ind w:left="112"/>
            </w:pPr>
            <w:r>
              <w:t>No permits</w:t>
            </w:r>
          </w:p>
        </w:tc>
      </w:tr>
      <w:tr w:rsidR="00FA67D2" w14:paraId="745248F2" w14:textId="77777777">
        <w:trPr>
          <w:trHeight w:val="388"/>
        </w:trPr>
        <w:tc>
          <w:tcPr>
            <w:tcW w:w="1584" w:type="dxa"/>
            <w:shd w:val="clear" w:color="auto" w:fill="DCC695"/>
          </w:tcPr>
          <w:p w14:paraId="1CDB0849" w14:textId="77777777" w:rsidR="00FA67D2" w:rsidRDefault="00C91F95">
            <w:pPr>
              <w:pStyle w:val="TableParagraph"/>
              <w:spacing w:line="265" w:lineRule="exact"/>
              <w:ind w:left="107"/>
              <w:rPr>
                <w:b/>
              </w:rPr>
            </w:pPr>
            <w:r>
              <w:rPr>
                <w:b/>
              </w:rPr>
              <w:t>Moderate</w:t>
            </w:r>
          </w:p>
        </w:tc>
        <w:tc>
          <w:tcPr>
            <w:tcW w:w="4202" w:type="dxa"/>
          </w:tcPr>
          <w:p w14:paraId="19D9AB9E" w14:textId="77777777" w:rsidR="00FA67D2" w:rsidRDefault="00C91F95">
            <w:pPr>
              <w:pStyle w:val="TableParagraph"/>
              <w:spacing w:line="265" w:lineRule="exact"/>
              <w:ind w:left="107"/>
            </w:pPr>
            <w:r>
              <w:t>MSGP or large CGP</w:t>
            </w:r>
          </w:p>
        </w:tc>
        <w:tc>
          <w:tcPr>
            <w:tcW w:w="3789" w:type="dxa"/>
          </w:tcPr>
          <w:p w14:paraId="4E9990BC" w14:textId="77777777" w:rsidR="00FA67D2" w:rsidRDefault="00C91F95">
            <w:pPr>
              <w:pStyle w:val="TableParagraph"/>
              <w:spacing w:line="265" w:lineRule="exact"/>
              <w:ind w:left="105"/>
            </w:pPr>
            <w:r>
              <w:t>Permit expired for more than one year</w:t>
            </w:r>
          </w:p>
        </w:tc>
      </w:tr>
      <w:tr w:rsidR="00FA67D2" w14:paraId="240D791D" w14:textId="77777777">
        <w:trPr>
          <w:trHeight w:val="388"/>
        </w:trPr>
        <w:tc>
          <w:tcPr>
            <w:tcW w:w="1584" w:type="dxa"/>
            <w:shd w:val="clear" w:color="auto" w:fill="DCC695"/>
          </w:tcPr>
          <w:p w14:paraId="13C56527" w14:textId="77777777" w:rsidR="00FA67D2" w:rsidRDefault="00C91F95">
            <w:pPr>
              <w:pStyle w:val="TableParagraph"/>
              <w:spacing w:line="265" w:lineRule="exact"/>
              <w:ind w:left="107"/>
              <w:rPr>
                <w:b/>
              </w:rPr>
            </w:pPr>
            <w:r>
              <w:rPr>
                <w:b/>
              </w:rPr>
              <w:t>Minor</w:t>
            </w:r>
          </w:p>
        </w:tc>
        <w:tc>
          <w:tcPr>
            <w:tcW w:w="4202" w:type="dxa"/>
          </w:tcPr>
          <w:p w14:paraId="16C638C0" w14:textId="77777777" w:rsidR="00FA67D2" w:rsidRDefault="00C91F95">
            <w:pPr>
              <w:pStyle w:val="TableParagraph"/>
              <w:spacing w:line="265" w:lineRule="exact"/>
              <w:ind w:left="107"/>
            </w:pPr>
            <w:r>
              <w:t>NEX or small CGP</w:t>
            </w:r>
          </w:p>
        </w:tc>
        <w:tc>
          <w:tcPr>
            <w:tcW w:w="3789" w:type="dxa"/>
          </w:tcPr>
          <w:p w14:paraId="4D7BDE56" w14:textId="77777777" w:rsidR="00FA67D2" w:rsidRDefault="00C91F95">
            <w:pPr>
              <w:pStyle w:val="TableParagraph"/>
              <w:spacing w:line="265" w:lineRule="exact"/>
              <w:ind w:left="105"/>
            </w:pPr>
            <w:r>
              <w:t>Permit expired for one year or less</w:t>
            </w:r>
          </w:p>
        </w:tc>
      </w:tr>
    </w:tbl>
    <w:p w14:paraId="33EC0848" w14:textId="77777777" w:rsidR="00FA67D2" w:rsidRDefault="00FA67D2">
      <w:pPr>
        <w:spacing w:line="265" w:lineRule="exact"/>
        <w:sectPr w:rsidR="00FA67D2">
          <w:pgSz w:w="12240" w:h="15840"/>
          <w:pgMar w:top="1320" w:right="1200" w:bottom="1160" w:left="1220" w:header="733" w:footer="967" w:gutter="0"/>
          <w:cols w:space="720"/>
        </w:sectPr>
      </w:pPr>
    </w:p>
    <w:p w14:paraId="01067539" w14:textId="77777777" w:rsidR="00FA67D2" w:rsidRDefault="00C91F95">
      <w:pPr>
        <w:pStyle w:val="Heading2"/>
        <w:spacing w:before="104"/>
      </w:pPr>
      <w:r>
        <w:lastRenderedPageBreak/>
        <w:t>Matrix Factors—Inspections, Plans, and Reports (Facility Site Review)</w:t>
      </w:r>
    </w:p>
    <w:p w14:paraId="6FCBAE9F" w14:textId="77777777" w:rsidR="00FA67D2" w:rsidRDefault="00C91F95">
      <w:pPr>
        <w:pStyle w:val="BodyText"/>
        <w:spacing w:before="160" w:line="276" w:lineRule="auto"/>
        <w:ind w:left="219" w:right="445"/>
      </w:pPr>
      <w:r>
        <w:t>Plans and reports for the CGP include the Stormwater Pollution Prevention Plan (SWPPP) and the weekly/0.5 inch rainfall event inspection reports. Plans and reports for the MSGP include the SWPPP and records of quarterly visual monitoring, annual comprehensive site compliance evaluations, annual employee training, and other sector-specific inspections or monitoring. The extent of environmental harm for violations involving inspections, plans, and reports is linked to the facility's overall operation and maintenance as evidenced by the inspector's facility site review.</w:t>
      </w:r>
    </w:p>
    <w:p w14:paraId="73F6FC53" w14:textId="77777777" w:rsidR="00FA67D2" w:rsidRDefault="00FA67D2">
      <w:pPr>
        <w:pStyle w:val="BodyText"/>
        <w:spacing w:before="1"/>
        <w:rPr>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4"/>
        <w:gridCol w:w="4111"/>
        <w:gridCol w:w="3881"/>
      </w:tblGrid>
      <w:tr w:rsidR="00FA67D2" w14:paraId="4B87AE83" w14:textId="77777777">
        <w:trPr>
          <w:trHeight w:val="474"/>
        </w:trPr>
        <w:tc>
          <w:tcPr>
            <w:tcW w:w="1584" w:type="dxa"/>
            <w:shd w:val="clear" w:color="auto" w:fill="C5A04F"/>
          </w:tcPr>
          <w:p w14:paraId="653AFD8D" w14:textId="77777777" w:rsidR="00FA67D2" w:rsidRDefault="00C91F95">
            <w:pPr>
              <w:pStyle w:val="TableParagraph"/>
              <w:spacing w:before="42"/>
              <w:ind w:left="175"/>
              <w:rPr>
                <w:b/>
              </w:rPr>
            </w:pPr>
            <w:r>
              <w:rPr>
                <w:b/>
              </w:rPr>
              <w:t>Matrix Factor</w:t>
            </w:r>
          </w:p>
        </w:tc>
        <w:tc>
          <w:tcPr>
            <w:tcW w:w="4111" w:type="dxa"/>
            <w:shd w:val="clear" w:color="auto" w:fill="DCC695"/>
          </w:tcPr>
          <w:p w14:paraId="231DFEBD" w14:textId="77777777" w:rsidR="00FA67D2" w:rsidRDefault="00C91F95">
            <w:pPr>
              <w:pStyle w:val="TableParagraph"/>
              <w:spacing w:before="42"/>
              <w:ind w:left="1106"/>
              <w:rPr>
                <w:b/>
              </w:rPr>
            </w:pPr>
            <w:r>
              <w:rPr>
                <w:b/>
              </w:rPr>
              <w:t>Environmental Harm</w:t>
            </w:r>
          </w:p>
        </w:tc>
        <w:tc>
          <w:tcPr>
            <w:tcW w:w="3881" w:type="dxa"/>
            <w:shd w:val="clear" w:color="auto" w:fill="DCC695"/>
          </w:tcPr>
          <w:p w14:paraId="50C25D72" w14:textId="77777777" w:rsidR="00FA67D2" w:rsidRDefault="00C91F95">
            <w:pPr>
              <w:pStyle w:val="TableParagraph"/>
              <w:spacing w:before="42"/>
              <w:ind w:left="189"/>
              <w:rPr>
                <w:b/>
              </w:rPr>
            </w:pPr>
            <w:r>
              <w:rPr>
                <w:b/>
              </w:rPr>
              <w:t>Extent of Deviation from Requirement</w:t>
            </w:r>
          </w:p>
        </w:tc>
      </w:tr>
      <w:tr w:rsidR="00FA67D2" w14:paraId="6E914B57" w14:textId="77777777">
        <w:trPr>
          <w:trHeight w:val="1012"/>
        </w:trPr>
        <w:tc>
          <w:tcPr>
            <w:tcW w:w="1584" w:type="dxa"/>
            <w:shd w:val="clear" w:color="auto" w:fill="DCC695"/>
          </w:tcPr>
          <w:p w14:paraId="2F3EB819" w14:textId="77777777" w:rsidR="00FA67D2" w:rsidRDefault="00FA67D2">
            <w:pPr>
              <w:pStyle w:val="TableParagraph"/>
              <w:spacing w:before="3"/>
              <w:rPr>
                <w:sz w:val="25"/>
              </w:rPr>
            </w:pPr>
          </w:p>
          <w:p w14:paraId="14296F20" w14:textId="77777777" w:rsidR="00FA67D2" w:rsidRDefault="00C91F95">
            <w:pPr>
              <w:pStyle w:val="TableParagraph"/>
              <w:ind w:left="115"/>
              <w:rPr>
                <w:b/>
              </w:rPr>
            </w:pPr>
            <w:r>
              <w:rPr>
                <w:b/>
              </w:rPr>
              <w:t>Major</w:t>
            </w:r>
          </w:p>
        </w:tc>
        <w:tc>
          <w:tcPr>
            <w:tcW w:w="4111" w:type="dxa"/>
          </w:tcPr>
          <w:p w14:paraId="1498E283" w14:textId="77777777" w:rsidR="00FA67D2" w:rsidRDefault="00C91F95">
            <w:pPr>
              <w:pStyle w:val="TableParagraph"/>
              <w:spacing w:before="40"/>
              <w:ind w:left="115" w:right="484"/>
            </w:pPr>
            <w:r>
              <w:t>Significant offsite discharge of polluted stormwater runoff which results in significant environmental harm</w:t>
            </w:r>
          </w:p>
        </w:tc>
        <w:tc>
          <w:tcPr>
            <w:tcW w:w="3881" w:type="dxa"/>
          </w:tcPr>
          <w:p w14:paraId="483684CB" w14:textId="77777777" w:rsidR="00FA67D2" w:rsidRDefault="00C91F95">
            <w:pPr>
              <w:pStyle w:val="TableParagraph"/>
              <w:spacing w:before="174"/>
              <w:ind w:left="115" w:right="100"/>
            </w:pPr>
            <w:r>
              <w:t>Plans and reports are totally incomplete, missing, or not prepared</w:t>
            </w:r>
          </w:p>
        </w:tc>
      </w:tr>
      <w:tr w:rsidR="00FA67D2" w14:paraId="2404ADE8" w14:textId="77777777">
        <w:trPr>
          <w:trHeight w:val="1012"/>
        </w:trPr>
        <w:tc>
          <w:tcPr>
            <w:tcW w:w="1584" w:type="dxa"/>
            <w:shd w:val="clear" w:color="auto" w:fill="DCC695"/>
          </w:tcPr>
          <w:p w14:paraId="57044283" w14:textId="77777777" w:rsidR="00FA67D2" w:rsidRDefault="00FA67D2">
            <w:pPr>
              <w:pStyle w:val="TableParagraph"/>
              <w:spacing w:before="3"/>
              <w:rPr>
                <w:sz w:val="25"/>
              </w:rPr>
            </w:pPr>
          </w:p>
          <w:p w14:paraId="597889CF" w14:textId="77777777" w:rsidR="00FA67D2" w:rsidRDefault="00C91F95">
            <w:pPr>
              <w:pStyle w:val="TableParagraph"/>
              <w:ind w:left="115"/>
              <w:rPr>
                <w:b/>
              </w:rPr>
            </w:pPr>
            <w:r>
              <w:rPr>
                <w:b/>
              </w:rPr>
              <w:t>Moderate</w:t>
            </w:r>
          </w:p>
        </w:tc>
        <w:tc>
          <w:tcPr>
            <w:tcW w:w="4111" w:type="dxa"/>
          </w:tcPr>
          <w:p w14:paraId="004BAB76" w14:textId="77777777" w:rsidR="00FA67D2" w:rsidRDefault="00C91F95">
            <w:pPr>
              <w:pStyle w:val="TableParagraph"/>
              <w:spacing w:before="40"/>
              <w:ind w:left="115"/>
            </w:pPr>
            <w:r>
              <w:t>Offsite discharge of polluted stormwater runoff causing or reasonably expected to cause measurable environmental harm</w:t>
            </w:r>
          </w:p>
        </w:tc>
        <w:tc>
          <w:tcPr>
            <w:tcW w:w="3881" w:type="dxa"/>
          </w:tcPr>
          <w:p w14:paraId="71FD7880" w14:textId="77777777" w:rsidR="00FA67D2" w:rsidRDefault="00C91F95">
            <w:pPr>
              <w:pStyle w:val="TableParagraph"/>
              <w:spacing w:before="174"/>
              <w:ind w:left="115" w:right="126"/>
            </w:pPr>
            <w:r>
              <w:t>Plans and reports are partially complete (less than 50% complete) and up to date</w:t>
            </w:r>
          </w:p>
        </w:tc>
      </w:tr>
      <w:tr w:rsidR="00FA67D2" w14:paraId="661E6ACF" w14:textId="77777777">
        <w:trPr>
          <w:trHeight w:val="1281"/>
        </w:trPr>
        <w:tc>
          <w:tcPr>
            <w:tcW w:w="1584" w:type="dxa"/>
            <w:shd w:val="clear" w:color="auto" w:fill="DCC695"/>
          </w:tcPr>
          <w:p w14:paraId="62905241" w14:textId="77777777" w:rsidR="00FA67D2" w:rsidRDefault="00FA67D2">
            <w:pPr>
              <w:pStyle w:val="TableParagraph"/>
            </w:pPr>
          </w:p>
          <w:p w14:paraId="55B07190" w14:textId="77777777" w:rsidR="00FA67D2" w:rsidRDefault="00C91F95">
            <w:pPr>
              <w:pStyle w:val="TableParagraph"/>
              <w:spacing w:before="174"/>
              <w:ind w:left="115"/>
              <w:rPr>
                <w:b/>
              </w:rPr>
            </w:pPr>
            <w:r>
              <w:rPr>
                <w:b/>
              </w:rPr>
              <w:t>Minor</w:t>
            </w:r>
          </w:p>
        </w:tc>
        <w:tc>
          <w:tcPr>
            <w:tcW w:w="4111" w:type="dxa"/>
          </w:tcPr>
          <w:p w14:paraId="6D017501" w14:textId="77777777" w:rsidR="00FA67D2" w:rsidRDefault="00C91F95">
            <w:pPr>
              <w:pStyle w:val="TableParagraph"/>
              <w:spacing w:before="40"/>
              <w:ind w:left="115" w:right="208"/>
            </w:pPr>
            <w:r>
              <w:t>Offsite discharge of polluted stormwater runoff with evidence or reasonably expected to cause minimal environmental harm</w:t>
            </w:r>
          </w:p>
        </w:tc>
        <w:tc>
          <w:tcPr>
            <w:tcW w:w="3881" w:type="dxa"/>
          </w:tcPr>
          <w:p w14:paraId="6BF2A371" w14:textId="77777777" w:rsidR="00FA67D2" w:rsidRDefault="00FA67D2">
            <w:pPr>
              <w:pStyle w:val="TableParagraph"/>
              <w:spacing w:before="3"/>
              <w:rPr>
                <w:sz w:val="25"/>
              </w:rPr>
            </w:pPr>
          </w:p>
          <w:p w14:paraId="56751E76" w14:textId="77777777" w:rsidR="00FA67D2" w:rsidRDefault="00C91F95">
            <w:pPr>
              <w:pStyle w:val="TableParagraph"/>
              <w:ind w:left="115" w:right="198"/>
            </w:pPr>
            <w:r>
              <w:t>Plans and reports are mostly complete (50% or more complete) and up to date</w:t>
            </w:r>
          </w:p>
        </w:tc>
      </w:tr>
    </w:tbl>
    <w:p w14:paraId="37F46E27" w14:textId="77777777" w:rsidR="00FA67D2" w:rsidRDefault="00FA67D2">
      <w:pPr>
        <w:pStyle w:val="BodyText"/>
      </w:pPr>
    </w:p>
    <w:p w14:paraId="373297AC" w14:textId="77777777" w:rsidR="00FA67D2" w:rsidRDefault="00C91F95">
      <w:pPr>
        <w:pStyle w:val="Heading2"/>
        <w:spacing w:before="187"/>
      </w:pPr>
      <w:r>
        <w:t>Matrix Factors—Best Management Practices (Condition of Receivi</w:t>
      </w:r>
      <w:bookmarkStart w:id="3" w:name="Matrix_Factors—Best_Management_Practices"/>
      <w:bookmarkEnd w:id="3"/>
      <w:r>
        <w:t>ng Water)</w:t>
      </w:r>
    </w:p>
    <w:p w14:paraId="2AF18298" w14:textId="77777777" w:rsidR="00FA67D2" w:rsidRDefault="00C91F95">
      <w:pPr>
        <w:pStyle w:val="BodyText"/>
        <w:spacing w:before="40" w:line="276" w:lineRule="auto"/>
        <w:ind w:left="219" w:right="445"/>
      </w:pPr>
      <w:r>
        <w:t>The extent of environmental harm for Best Management Practices (BMPs) violations is linked to observed off-site impacts on receiving waters. The extent of deviation is a function of the number of BMP systems in violation (e.g., "perimeter controls" would count as a single BMP in violation, as opposed to counting each section of a damaged silt fence). Extent of deviation is also decided by whether the violations consisted of minor, correctable problems; BMPs that were not routinely inspected and maintained; or BMPs that were simply not installed.</w:t>
      </w:r>
    </w:p>
    <w:p w14:paraId="0E2BC448" w14:textId="77777777" w:rsidR="00FA67D2" w:rsidRDefault="00FA67D2">
      <w:pPr>
        <w:pStyle w:val="BodyText"/>
        <w:spacing w:before="1"/>
        <w:rPr>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4"/>
        <w:gridCol w:w="4111"/>
        <w:gridCol w:w="3881"/>
      </w:tblGrid>
      <w:tr w:rsidR="00FA67D2" w14:paraId="49A56EC5" w14:textId="77777777">
        <w:trPr>
          <w:trHeight w:val="474"/>
        </w:trPr>
        <w:tc>
          <w:tcPr>
            <w:tcW w:w="1584" w:type="dxa"/>
            <w:shd w:val="clear" w:color="auto" w:fill="C5A04F"/>
          </w:tcPr>
          <w:p w14:paraId="4015C770" w14:textId="77777777" w:rsidR="00FA67D2" w:rsidRDefault="00C91F95">
            <w:pPr>
              <w:pStyle w:val="TableParagraph"/>
              <w:spacing w:before="40"/>
              <w:ind w:left="175"/>
              <w:rPr>
                <w:b/>
              </w:rPr>
            </w:pPr>
            <w:r>
              <w:rPr>
                <w:b/>
              </w:rPr>
              <w:t>Matrix Factor</w:t>
            </w:r>
          </w:p>
        </w:tc>
        <w:tc>
          <w:tcPr>
            <w:tcW w:w="4111" w:type="dxa"/>
            <w:shd w:val="clear" w:color="auto" w:fill="DCC695"/>
          </w:tcPr>
          <w:p w14:paraId="1E90DFE4" w14:textId="77777777" w:rsidR="00FA67D2" w:rsidRDefault="00C91F95">
            <w:pPr>
              <w:pStyle w:val="TableParagraph"/>
              <w:spacing w:before="40"/>
              <w:ind w:left="1106"/>
              <w:rPr>
                <w:b/>
              </w:rPr>
            </w:pPr>
            <w:r>
              <w:rPr>
                <w:b/>
              </w:rPr>
              <w:t>Environmental Harm</w:t>
            </w:r>
          </w:p>
        </w:tc>
        <w:tc>
          <w:tcPr>
            <w:tcW w:w="3881" w:type="dxa"/>
            <w:shd w:val="clear" w:color="auto" w:fill="DCC695"/>
          </w:tcPr>
          <w:p w14:paraId="36E9FD41" w14:textId="77777777" w:rsidR="00FA67D2" w:rsidRDefault="00C91F95">
            <w:pPr>
              <w:pStyle w:val="TableParagraph"/>
              <w:spacing w:before="40"/>
              <w:ind w:left="189"/>
              <w:rPr>
                <w:b/>
              </w:rPr>
            </w:pPr>
            <w:r>
              <w:rPr>
                <w:b/>
              </w:rPr>
              <w:t>Extent of Deviation from Requirement</w:t>
            </w:r>
          </w:p>
        </w:tc>
      </w:tr>
      <w:tr w:rsidR="00FA67D2" w14:paraId="0A7DAF20" w14:textId="77777777">
        <w:trPr>
          <w:trHeight w:val="1281"/>
        </w:trPr>
        <w:tc>
          <w:tcPr>
            <w:tcW w:w="1584" w:type="dxa"/>
            <w:shd w:val="clear" w:color="auto" w:fill="DCC695"/>
          </w:tcPr>
          <w:p w14:paraId="6A975255" w14:textId="77777777" w:rsidR="00FA67D2" w:rsidRDefault="00FA67D2">
            <w:pPr>
              <w:pStyle w:val="TableParagraph"/>
            </w:pPr>
          </w:p>
          <w:p w14:paraId="4A3E6DC1" w14:textId="77777777" w:rsidR="00FA67D2" w:rsidRDefault="00C91F95">
            <w:pPr>
              <w:pStyle w:val="TableParagraph"/>
              <w:spacing w:before="174"/>
              <w:ind w:left="115"/>
              <w:rPr>
                <w:b/>
              </w:rPr>
            </w:pPr>
            <w:r>
              <w:rPr>
                <w:b/>
              </w:rPr>
              <w:t>Major</w:t>
            </w:r>
          </w:p>
        </w:tc>
        <w:tc>
          <w:tcPr>
            <w:tcW w:w="4111" w:type="dxa"/>
          </w:tcPr>
          <w:p w14:paraId="58056E03" w14:textId="77777777" w:rsidR="00FA67D2" w:rsidRDefault="00C91F95">
            <w:pPr>
              <w:pStyle w:val="TableParagraph"/>
              <w:spacing w:before="40"/>
              <w:ind w:left="114" w:right="470"/>
            </w:pPr>
            <w:r>
              <w:t>Sampling results documenting polluted runoff (e.g., turbidity readings 29 NTU above background) which results in significant environmental harm</w:t>
            </w:r>
          </w:p>
        </w:tc>
        <w:tc>
          <w:tcPr>
            <w:tcW w:w="3881" w:type="dxa"/>
          </w:tcPr>
          <w:p w14:paraId="635A4E51" w14:textId="77777777" w:rsidR="00FA67D2" w:rsidRDefault="00FA67D2">
            <w:pPr>
              <w:pStyle w:val="TableParagraph"/>
            </w:pPr>
          </w:p>
          <w:p w14:paraId="1A7B627A" w14:textId="77777777" w:rsidR="00FA67D2" w:rsidRDefault="00C91F95">
            <w:pPr>
              <w:pStyle w:val="TableParagraph"/>
              <w:spacing w:before="174"/>
              <w:ind w:left="115"/>
            </w:pPr>
            <w:r>
              <w:t>Multiple BMPs that are not installed</w:t>
            </w:r>
          </w:p>
        </w:tc>
      </w:tr>
      <w:tr w:rsidR="00FA67D2" w14:paraId="2429BB27" w14:textId="77777777">
        <w:trPr>
          <w:trHeight w:val="1550"/>
        </w:trPr>
        <w:tc>
          <w:tcPr>
            <w:tcW w:w="1584" w:type="dxa"/>
            <w:shd w:val="clear" w:color="auto" w:fill="DCC695"/>
          </w:tcPr>
          <w:p w14:paraId="12B41912" w14:textId="77777777" w:rsidR="00FA67D2" w:rsidRDefault="00FA67D2">
            <w:pPr>
              <w:pStyle w:val="TableParagraph"/>
            </w:pPr>
          </w:p>
          <w:p w14:paraId="22329518" w14:textId="77777777" w:rsidR="00FA67D2" w:rsidRDefault="00FA67D2">
            <w:pPr>
              <w:pStyle w:val="TableParagraph"/>
              <w:spacing w:before="3"/>
              <w:rPr>
                <w:sz w:val="25"/>
              </w:rPr>
            </w:pPr>
          </w:p>
          <w:p w14:paraId="098E6D20" w14:textId="77777777" w:rsidR="00FA67D2" w:rsidRDefault="00C91F95">
            <w:pPr>
              <w:pStyle w:val="TableParagraph"/>
              <w:ind w:left="115"/>
              <w:rPr>
                <w:b/>
              </w:rPr>
            </w:pPr>
            <w:r>
              <w:rPr>
                <w:b/>
              </w:rPr>
              <w:t>Moderate</w:t>
            </w:r>
          </w:p>
        </w:tc>
        <w:tc>
          <w:tcPr>
            <w:tcW w:w="4111" w:type="dxa"/>
          </w:tcPr>
          <w:p w14:paraId="37FD08F7" w14:textId="3D4FFEC3" w:rsidR="00FA67D2" w:rsidRDefault="00C91F95">
            <w:pPr>
              <w:pStyle w:val="TableParagraph"/>
              <w:spacing w:before="40"/>
              <w:ind w:left="114" w:right="132"/>
            </w:pPr>
            <w:r>
              <w:t xml:space="preserve">Visible observation of polluted runoff (e.g., turbidity plume, </w:t>
            </w:r>
            <w:r w:rsidR="002D222D">
              <w:t xml:space="preserve">sediment, </w:t>
            </w:r>
            <w:r>
              <w:t>oily sheen, floating trash or debris, etc.) causing or reasonabl</w:t>
            </w:r>
            <w:r w:rsidR="00033655">
              <w:t>y</w:t>
            </w:r>
            <w:r>
              <w:t xml:space="preserve"> expected to cause measurable environmental harm.</w:t>
            </w:r>
          </w:p>
        </w:tc>
        <w:tc>
          <w:tcPr>
            <w:tcW w:w="3881" w:type="dxa"/>
          </w:tcPr>
          <w:p w14:paraId="014DC93F" w14:textId="77777777" w:rsidR="00FA67D2" w:rsidRDefault="00C91F95">
            <w:pPr>
              <w:pStyle w:val="TableParagraph"/>
              <w:numPr>
                <w:ilvl w:val="0"/>
                <w:numId w:val="8"/>
              </w:numPr>
              <w:tabs>
                <w:tab w:val="left" w:pos="539"/>
                <w:tab w:val="left" w:pos="540"/>
              </w:tabs>
              <w:spacing w:before="162"/>
              <w:ind w:right="235"/>
            </w:pPr>
            <w:r>
              <w:t>Multiple BMPs that are not maintained (i.e., major corrections are needed)</w:t>
            </w:r>
          </w:p>
          <w:p w14:paraId="202E1D60" w14:textId="77777777" w:rsidR="00FA67D2" w:rsidRDefault="00C91F95">
            <w:pPr>
              <w:pStyle w:val="TableParagraph"/>
              <w:numPr>
                <w:ilvl w:val="0"/>
                <w:numId w:val="8"/>
              </w:numPr>
              <w:tabs>
                <w:tab w:val="left" w:pos="539"/>
                <w:tab w:val="left" w:pos="540"/>
              </w:tabs>
              <w:spacing w:before="1"/>
            </w:pPr>
            <w:r>
              <w:t>Single BMP that is not</w:t>
            </w:r>
            <w:r>
              <w:rPr>
                <w:spacing w:val="-4"/>
              </w:rPr>
              <w:t xml:space="preserve"> </w:t>
            </w:r>
            <w:r>
              <w:t>installed</w:t>
            </w:r>
          </w:p>
        </w:tc>
      </w:tr>
    </w:tbl>
    <w:p w14:paraId="6FFD8CE3" w14:textId="77777777" w:rsidR="00FA67D2" w:rsidRDefault="00FA67D2">
      <w:pPr>
        <w:sectPr w:rsidR="00FA67D2">
          <w:pgSz w:w="12240" w:h="15840"/>
          <w:pgMar w:top="1320" w:right="1200" w:bottom="1160" w:left="1220" w:header="733" w:footer="967" w:gutter="0"/>
          <w:cols w:space="720"/>
        </w:sectPr>
      </w:pPr>
    </w:p>
    <w:p w14:paraId="6D12CE1F" w14:textId="77777777" w:rsidR="00FA67D2" w:rsidRDefault="00FA67D2">
      <w:pPr>
        <w:pStyle w:val="BodyText"/>
        <w:spacing w:before="6"/>
        <w:rPr>
          <w:sz w:val="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4"/>
        <w:gridCol w:w="4111"/>
        <w:gridCol w:w="3881"/>
      </w:tblGrid>
      <w:tr w:rsidR="00FA67D2" w14:paraId="52511BB0" w14:textId="77777777">
        <w:trPr>
          <w:trHeight w:val="1305"/>
        </w:trPr>
        <w:tc>
          <w:tcPr>
            <w:tcW w:w="1584" w:type="dxa"/>
            <w:shd w:val="clear" w:color="auto" w:fill="DCC695"/>
          </w:tcPr>
          <w:p w14:paraId="057A61D8" w14:textId="77777777" w:rsidR="00FA67D2" w:rsidRDefault="00FA67D2">
            <w:pPr>
              <w:pStyle w:val="TableParagraph"/>
            </w:pPr>
          </w:p>
          <w:p w14:paraId="43084235" w14:textId="77777777" w:rsidR="00FA67D2" w:rsidRDefault="00C91F95">
            <w:pPr>
              <w:pStyle w:val="TableParagraph"/>
              <w:spacing w:before="186"/>
              <w:ind w:left="115"/>
              <w:rPr>
                <w:b/>
              </w:rPr>
            </w:pPr>
            <w:r>
              <w:rPr>
                <w:b/>
              </w:rPr>
              <w:t>Minor</w:t>
            </w:r>
          </w:p>
        </w:tc>
        <w:tc>
          <w:tcPr>
            <w:tcW w:w="4111" w:type="dxa"/>
          </w:tcPr>
          <w:p w14:paraId="2EE0C193" w14:textId="77777777" w:rsidR="00FA67D2" w:rsidRDefault="00C91F95">
            <w:pPr>
              <w:pStyle w:val="TableParagraph"/>
              <w:spacing w:before="52"/>
              <w:ind w:left="115" w:right="195"/>
            </w:pPr>
            <w:r>
              <w:t>Evidence of off-site impacts (e.g., staining, discoloration, trash, etc.) causing or reasonable expected to cause minimal environmental harm.</w:t>
            </w:r>
          </w:p>
        </w:tc>
        <w:tc>
          <w:tcPr>
            <w:tcW w:w="3881" w:type="dxa"/>
          </w:tcPr>
          <w:p w14:paraId="7F6EE177" w14:textId="77777777" w:rsidR="00FA67D2" w:rsidRDefault="00C91F95">
            <w:pPr>
              <w:pStyle w:val="TableParagraph"/>
              <w:numPr>
                <w:ilvl w:val="0"/>
                <w:numId w:val="7"/>
              </w:numPr>
              <w:tabs>
                <w:tab w:val="left" w:pos="540"/>
                <w:tab w:val="left" w:pos="541"/>
              </w:tabs>
              <w:spacing w:before="40"/>
              <w:ind w:right="256"/>
            </w:pPr>
            <w:r>
              <w:t>One or more BMPs with minor problems that are easily</w:t>
            </w:r>
            <w:r>
              <w:rPr>
                <w:spacing w:val="-13"/>
              </w:rPr>
              <w:t xml:space="preserve"> </w:t>
            </w:r>
            <w:r>
              <w:t>corrected</w:t>
            </w:r>
          </w:p>
          <w:p w14:paraId="5BCC93DB" w14:textId="77777777" w:rsidR="00FA67D2" w:rsidRDefault="00C91F95">
            <w:pPr>
              <w:pStyle w:val="TableParagraph"/>
              <w:numPr>
                <w:ilvl w:val="0"/>
                <w:numId w:val="7"/>
              </w:numPr>
              <w:tabs>
                <w:tab w:val="left" w:pos="540"/>
                <w:tab w:val="left" w:pos="541"/>
              </w:tabs>
              <w:ind w:right="167"/>
            </w:pPr>
            <w:r>
              <w:t>Single BMP that is not maintained (i.e., major corrections are</w:t>
            </w:r>
            <w:r>
              <w:rPr>
                <w:spacing w:val="-12"/>
              </w:rPr>
              <w:t xml:space="preserve"> </w:t>
            </w:r>
            <w:r>
              <w:t>needed)</w:t>
            </w:r>
          </w:p>
        </w:tc>
      </w:tr>
    </w:tbl>
    <w:p w14:paraId="0CA014B2" w14:textId="77777777" w:rsidR="00FA67D2" w:rsidRDefault="00FA67D2">
      <w:pPr>
        <w:pStyle w:val="BodyText"/>
        <w:spacing w:before="4"/>
        <w:rPr>
          <w:sz w:val="28"/>
        </w:rPr>
      </w:pPr>
    </w:p>
    <w:p w14:paraId="74469766" w14:textId="77777777" w:rsidR="00FA67D2" w:rsidRDefault="00C91F95">
      <w:pPr>
        <w:pStyle w:val="Heading2"/>
        <w:spacing w:before="52"/>
      </w:pPr>
      <w:r>
        <w:t>Matrix Factors—</w:t>
      </w:r>
      <w:bookmarkStart w:id="4" w:name="Matrix_Factors—Phase_I_Municipal_Separat"/>
      <w:bookmarkEnd w:id="4"/>
      <w:r>
        <w:t>Phase I Municipal Separate Storm Sewer System Violations</w:t>
      </w:r>
    </w:p>
    <w:p w14:paraId="532B20BC" w14:textId="77777777" w:rsidR="00FA67D2" w:rsidRDefault="00C91F95">
      <w:pPr>
        <w:pStyle w:val="BodyText"/>
        <w:spacing w:before="43" w:line="276" w:lineRule="auto"/>
        <w:ind w:left="219" w:right="337"/>
      </w:pPr>
      <w:r>
        <w:t>The extent of environmental harm for Phase I Municipal Separate Storm Sewer System (MS4) violations is based upon which program element of the permit is in violation (e.g., detecting illicit discharges versus controlling fertilizer applications). The extent of deviation depends on whether the individual program element was in place, and, if in place, whether there were minor or major corrections necessary to return to compliance.</w:t>
      </w:r>
    </w:p>
    <w:p w14:paraId="3893AFBA" w14:textId="77777777" w:rsidR="00FA67D2" w:rsidRDefault="00FA67D2">
      <w:pPr>
        <w:pStyle w:val="BodyText"/>
        <w:spacing w:before="12"/>
        <w:rPr>
          <w:sz w:val="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4"/>
        <w:gridCol w:w="4111"/>
        <w:gridCol w:w="3881"/>
      </w:tblGrid>
      <w:tr w:rsidR="00FA67D2" w14:paraId="2702B581" w14:textId="77777777">
        <w:trPr>
          <w:trHeight w:val="474"/>
        </w:trPr>
        <w:tc>
          <w:tcPr>
            <w:tcW w:w="1584" w:type="dxa"/>
            <w:shd w:val="clear" w:color="auto" w:fill="C5A04F"/>
          </w:tcPr>
          <w:p w14:paraId="14C94DD6" w14:textId="77777777" w:rsidR="00FA67D2" w:rsidRDefault="00C91F95">
            <w:pPr>
              <w:pStyle w:val="TableParagraph"/>
              <w:spacing w:before="40"/>
              <w:ind w:left="175"/>
              <w:rPr>
                <w:b/>
              </w:rPr>
            </w:pPr>
            <w:r>
              <w:rPr>
                <w:b/>
              </w:rPr>
              <w:t>Matrix Factor</w:t>
            </w:r>
          </w:p>
        </w:tc>
        <w:tc>
          <w:tcPr>
            <w:tcW w:w="4111" w:type="dxa"/>
            <w:shd w:val="clear" w:color="auto" w:fill="DCC695"/>
          </w:tcPr>
          <w:p w14:paraId="09BBC75D" w14:textId="77777777" w:rsidR="00FA67D2" w:rsidRDefault="00C91F95">
            <w:pPr>
              <w:pStyle w:val="TableParagraph"/>
              <w:spacing w:before="40"/>
              <w:ind w:left="1106"/>
              <w:rPr>
                <w:b/>
              </w:rPr>
            </w:pPr>
            <w:r>
              <w:rPr>
                <w:b/>
              </w:rPr>
              <w:t>Environmental Harm</w:t>
            </w:r>
          </w:p>
        </w:tc>
        <w:tc>
          <w:tcPr>
            <w:tcW w:w="3881" w:type="dxa"/>
            <w:shd w:val="clear" w:color="auto" w:fill="DCC695"/>
          </w:tcPr>
          <w:p w14:paraId="03DBEC3E" w14:textId="77777777" w:rsidR="00FA67D2" w:rsidRDefault="00C91F95">
            <w:pPr>
              <w:pStyle w:val="TableParagraph"/>
              <w:spacing w:before="40"/>
              <w:ind w:left="189"/>
              <w:rPr>
                <w:b/>
              </w:rPr>
            </w:pPr>
            <w:r>
              <w:rPr>
                <w:b/>
              </w:rPr>
              <w:t>Extent of Deviation from Requirement</w:t>
            </w:r>
          </w:p>
        </w:tc>
      </w:tr>
      <w:tr w:rsidR="00FA67D2" w14:paraId="2E8EDBCE" w14:textId="77777777">
        <w:trPr>
          <w:trHeight w:val="3875"/>
        </w:trPr>
        <w:tc>
          <w:tcPr>
            <w:tcW w:w="1584" w:type="dxa"/>
            <w:shd w:val="clear" w:color="auto" w:fill="DCC695"/>
          </w:tcPr>
          <w:p w14:paraId="2DF9EB6F" w14:textId="77777777" w:rsidR="00FA67D2" w:rsidRDefault="00FA67D2">
            <w:pPr>
              <w:pStyle w:val="TableParagraph"/>
            </w:pPr>
          </w:p>
          <w:p w14:paraId="67C9C56F" w14:textId="77777777" w:rsidR="00FA67D2" w:rsidRDefault="00FA67D2">
            <w:pPr>
              <w:pStyle w:val="TableParagraph"/>
            </w:pPr>
          </w:p>
          <w:p w14:paraId="42A8116F" w14:textId="77777777" w:rsidR="00FA67D2" w:rsidRDefault="00FA67D2">
            <w:pPr>
              <w:pStyle w:val="TableParagraph"/>
            </w:pPr>
          </w:p>
          <w:p w14:paraId="44B1AE8F" w14:textId="77777777" w:rsidR="00FA67D2" w:rsidRDefault="00FA67D2">
            <w:pPr>
              <w:pStyle w:val="TableParagraph"/>
            </w:pPr>
          </w:p>
          <w:p w14:paraId="6F82789E" w14:textId="77777777" w:rsidR="00FA67D2" w:rsidRDefault="00FA67D2">
            <w:pPr>
              <w:pStyle w:val="TableParagraph"/>
            </w:pPr>
          </w:p>
          <w:p w14:paraId="7B5A28FA" w14:textId="77777777" w:rsidR="00FA67D2" w:rsidRDefault="00FA67D2">
            <w:pPr>
              <w:pStyle w:val="TableParagraph"/>
              <w:spacing w:before="8"/>
              <w:rPr>
                <w:sz w:val="32"/>
              </w:rPr>
            </w:pPr>
          </w:p>
          <w:p w14:paraId="4CE2E818" w14:textId="77777777" w:rsidR="00FA67D2" w:rsidRDefault="00C91F95">
            <w:pPr>
              <w:pStyle w:val="TableParagraph"/>
              <w:ind w:left="115"/>
              <w:rPr>
                <w:b/>
              </w:rPr>
            </w:pPr>
            <w:r>
              <w:rPr>
                <w:b/>
              </w:rPr>
              <w:t>Major</w:t>
            </w:r>
          </w:p>
        </w:tc>
        <w:tc>
          <w:tcPr>
            <w:tcW w:w="4111" w:type="dxa"/>
          </w:tcPr>
          <w:p w14:paraId="37EEC280" w14:textId="77777777" w:rsidR="00FA67D2" w:rsidRDefault="00C91F95">
            <w:pPr>
              <w:pStyle w:val="TableParagraph"/>
              <w:spacing w:before="40"/>
              <w:ind w:left="115" w:right="275"/>
            </w:pPr>
            <w:r>
              <w:t>Violations which result in significant environmental harm involving failures of:</w:t>
            </w:r>
          </w:p>
          <w:p w14:paraId="5DA883E9" w14:textId="77777777" w:rsidR="00FA67D2" w:rsidRDefault="00C91F95">
            <w:pPr>
              <w:pStyle w:val="TableParagraph"/>
              <w:numPr>
                <w:ilvl w:val="0"/>
                <w:numId w:val="6"/>
              </w:numPr>
              <w:tabs>
                <w:tab w:val="left" w:pos="782"/>
                <w:tab w:val="left" w:pos="783"/>
              </w:tabs>
              <w:spacing w:before="120"/>
              <w:ind w:right="976"/>
            </w:pPr>
            <w:r>
              <w:t>Maintenance schedule for structural</w:t>
            </w:r>
            <w:r>
              <w:rPr>
                <w:spacing w:val="-1"/>
              </w:rPr>
              <w:t xml:space="preserve"> </w:t>
            </w:r>
            <w:r>
              <w:t>controls</w:t>
            </w:r>
          </w:p>
          <w:p w14:paraId="24D97290" w14:textId="77777777" w:rsidR="00FA67D2" w:rsidRDefault="00C91F95">
            <w:pPr>
              <w:pStyle w:val="TableParagraph"/>
              <w:numPr>
                <w:ilvl w:val="0"/>
                <w:numId w:val="6"/>
              </w:numPr>
              <w:tabs>
                <w:tab w:val="left" w:pos="782"/>
                <w:tab w:val="left" w:pos="783"/>
              </w:tabs>
              <w:spacing w:before="1"/>
              <w:ind w:right="333"/>
            </w:pPr>
            <w:r>
              <w:t>Operating and maintaining</w:t>
            </w:r>
            <w:r>
              <w:rPr>
                <w:spacing w:val="-16"/>
              </w:rPr>
              <w:t xml:space="preserve"> </w:t>
            </w:r>
            <w:r>
              <w:t>public streets</w:t>
            </w:r>
          </w:p>
          <w:p w14:paraId="450CCDE3" w14:textId="77777777" w:rsidR="00FA67D2" w:rsidRDefault="00C91F95">
            <w:pPr>
              <w:pStyle w:val="TableParagraph"/>
              <w:numPr>
                <w:ilvl w:val="0"/>
                <w:numId w:val="6"/>
              </w:numPr>
              <w:tabs>
                <w:tab w:val="left" w:pos="782"/>
                <w:tab w:val="left" w:pos="783"/>
              </w:tabs>
              <w:ind w:right="699"/>
            </w:pPr>
            <w:r>
              <w:t>Detecting and removing illicit discharges</w:t>
            </w:r>
          </w:p>
          <w:p w14:paraId="1743538F" w14:textId="77777777" w:rsidR="00FA67D2" w:rsidRDefault="00C91F95">
            <w:pPr>
              <w:pStyle w:val="TableParagraph"/>
              <w:numPr>
                <w:ilvl w:val="0"/>
                <w:numId w:val="6"/>
              </w:numPr>
              <w:tabs>
                <w:tab w:val="left" w:pos="782"/>
                <w:tab w:val="left" w:pos="783"/>
              </w:tabs>
              <w:ind w:right="481"/>
            </w:pPr>
            <w:r>
              <w:t>Monitoring and controlling pollutants, landfills, hazardous waste sites, high-risk</w:t>
            </w:r>
            <w:r>
              <w:rPr>
                <w:spacing w:val="-15"/>
              </w:rPr>
              <w:t xml:space="preserve"> </w:t>
            </w:r>
            <w:r>
              <w:t>industrials</w:t>
            </w:r>
          </w:p>
          <w:p w14:paraId="0CE9637A" w14:textId="77777777" w:rsidR="00FA67D2" w:rsidRDefault="00C91F95">
            <w:pPr>
              <w:pStyle w:val="TableParagraph"/>
              <w:numPr>
                <w:ilvl w:val="0"/>
                <w:numId w:val="6"/>
              </w:numPr>
              <w:tabs>
                <w:tab w:val="left" w:pos="783"/>
                <w:tab w:val="left" w:pos="784"/>
              </w:tabs>
              <w:spacing w:before="2" w:line="237" w:lineRule="auto"/>
              <w:ind w:right="157" w:hanging="360"/>
            </w:pPr>
            <w:r>
              <w:t>Structural and non-structural BMPs for construction</w:t>
            </w:r>
            <w:r>
              <w:rPr>
                <w:spacing w:val="-2"/>
              </w:rPr>
              <w:t xml:space="preserve"> </w:t>
            </w:r>
            <w:r>
              <w:t>runoff</w:t>
            </w:r>
          </w:p>
        </w:tc>
        <w:tc>
          <w:tcPr>
            <w:tcW w:w="3881" w:type="dxa"/>
          </w:tcPr>
          <w:p w14:paraId="709A0095" w14:textId="77777777" w:rsidR="00FA67D2" w:rsidRDefault="00FA67D2">
            <w:pPr>
              <w:pStyle w:val="TableParagraph"/>
            </w:pPr>
          </w:p>
          <w:p w14:paraId="5F1535FC" w14:textId="77777777" w:rsidR="00FA67D2" w:rsidRDefault="00FA67D2">
            <w:pPr>
              <w:pStyle w:val="TableParagraph"/>
            </w:pPr>
          </w:p>
          <w:p w14:paraId="4BC4E714" w14:textId="77777777" w:rsidR="00FA67D2" w:rsidRDefault="00FA67D2">
            <w:pPr>
              <w:pStyle w:val="TableParagraph"/>
            </w:pPr>
          </w:p>
          <w:p w14:paraId="5BE1BEA2" w14:textId="77777777" w:rsidR="00FA67D2" w:rsidRDefault="00FA67D2">
            <w:pPr>
              <w:pStyle w:val="TableParagraph"/>
            </w:pPr>
          </w:p>
          <w:p w14:paraId="7E5B3AEB" w14:textId="77777777" w:rsidR="00FA67D2" w:rsidRDefault="00FA67D2">
            <w:pPr>
              <w:pStyle w:val="TableParagraph"/>
            </w:pPr>
          </w:p>
          <w:p w14:paraId="0CF0430F" w14:textId="77777777" w:rsidR="00FA67D2" w:rsidRDefault="00FA67D2">
            <w:pPr>
              <w:pStyle w:val="TableParagraph"/>
              <w:spacing w:before="7"/>
              <w:rPr>
                <w:sz w:val="32"/>
              </w:rPr>
            </w:pPr>
          </w:p>
          <w:p w14:paraId="78494953" w14:textId="77777777" w:rsidR="00FA67D2" w:rsidRDefault="00C91F95">
            <w:pPr>
              <w:pStyle w:val="TableParagraph"/>
              <w:spacing w:before="1"/>
              <w:ind w:left="116"/>
            </w:pPr>
            <w:r>
              <w:t>Program element not in place</w:t>
            </w:r>
          </w:p>
        </w:tc>
      </w:tr>
      <w:tr w:rsidR="00FA67D2" w14:paraId="613E71A7" w14:textId="77777777">
        <w:trPr>
          <w:trHeight w:val="2766"/>
        </w:trPr>
        <w:tc>
          <w:tcPr>
            <w:tcW w:w="1584" w:type="dxa"/>
            <w:shd w:val="clear" w:color="auto" w:fill="DCC695"/>
          </w:tcPr>
          <w:p w14:paraId="399341FB" w14:textId="77777777" w:rsidR="00FA67D2" w:rsidRDefault="00FA67D2">
            <w:pPr>
              <w:pStyle w:val="TableParagraph"/>
            </w:pPr>
          </w:p>
          <w:p w14:paraId="61571359" w14:textId="77777777" w:rsidR="00FA67D2" w:rsidRDefault="00FA67D2">
            <w:pPr>
              <w:pStyle w:val="TableParagraph"/>
            </w:pPr>
          </w:p>
          <w:p w14:paraId="648E1D03" w14:textId="77777777" w:rsidR="00FA67D2" w:rsidRDefault="00FA67D2">
            <w:pPr>
              <w:pStyle w:val="TableParagraph"/>
            </w:pPr>
          </w:p>
          <w:p w14:paraId="3AFBFA92" w14:textId="77777777" w:rsidR="00FA67D2" w:rsidRDefault="00FA67D2">
            <w:pPr>
              <w:pStyle w:val="TableParagraph"/>
              <w:spacing w:before="3"/>
              <w:rPr>
                <w:sz w:val="31"/>
              </w:rPr>
            </w:pPr>
          </w:p>
          <w:p w14:paraId="6FC87DE4" w14:textId="77777777" w:rsidR="00FA67D2" w:rsidRDefault="00C91F95">
            <w:pPr>
              <w:pStyle w:val="TableParagraph"/>
              <w:ind w:left="115"/>
              <w:rPr>
                <w:b/>
              </w:rPr>
            </w:pPr>
            <w:r>
              <w:rPr>
                <w:b/>
              </w:rPr>
              <w:t>Moderate</w:t>
            </w:r>
          </w:p>
        </w:tc>
        <w:tc>
          <w:tcPr>
            <w:tcW w:w="4111" w:type="dxa"/>
          </w:tcPr>
          <w:p w14:paraId="79927F46" w14:textId="77777777" w:rsidR="00FA67D2" w:rsidRDefault="00C91F95">
            <w:pPr>
              <w:pStyle w:val="TableParagraph"/>
              <w:spacing w:before="40"/>
              <w:ind w:left="114" w:right="197"/>
            </w:pPr>
            <w:r>
              <w:t>Violations which caused or are reasonable expected to cause environmental harm involving failures of:</w:t>
            </w:r>
          </w:p>
          <w:p w14:paraId="04298C8E" w14:textId="77777777" w:rsidR="00FA67D2" w:rsidRDefault="00C91F95">
            <w:pPr>
              <w:pStyle w:val="TableParagraph"/>
              <w:numPr>
                <w:ilvl w:val="0"/>
                <w:numId w:val="5"/>
              </w:numPr>
              <w:tabs>
                <w:tab w:val="left" w:pos="781"/>
                <w:tab w:val="left" w:pos="783"/>
              </w:tabs>
              <w:spacing w:before="120"/>
              <w:ind w:right="810"/>
            </w:pPr>
            <w:r>
              <w:t>Monitoring and identifying priorities for discharge from municipal waste</w:t>
            </w:r>
            <w:r>
              <w:rPr>
                <w:spacing w:val="-2"/>
              </w:rPr>
              <w:t xml:space="preserve"> </w:t>
            </w:r>
            <w:r>
              <w:t>facilities</w:t>
            </w:r>
          </w:p>
          <w:p w14:paraId="4901DB42" w14:textId="77777777" w:rsidR="00FA67D2" w:rsidRDefault="00C91F95">
            <w:pPr>
              <w:pStyle w:val="TableParagraph"/>
              <w:numPr>
                <w:ilvl w:val="0"/>
                <w:numId w:val="5"/>
              </w:numPr>
              <w:tabs>
                <w:tab w:val="left" w:pos="781"/>
                <w:tab w:val="left" w:pos="783"/>
              </w:tabs>
              <w:spacing w:before="1"/>
              <w:ind w:right="156"/>
            </w:pPr>
            <w:r>
              <w:t>Controlling pollutants related to pesticides, herbicides, and fertilizer applications</w:t>
            </w:r>
          </w:p>
        </w:tc>
        <w:tc>
          <w:tcPr>
            <w:tcW w:w="3881" w:type="dxa"/>
          </w:tcPr>
          <w:p w14:paraId="67454B3D" w14:textId="77777777" w:rsidR="00FA67D2" w:rsidRDefault="00FA67D2">
            <w:pPr>
              <w:pStyle w:val="TableParagraph"/>
            </w:pPr>
          </w:p>
          <w:p w14:paraId="68646250" w14:textId="77777777" w:rsidR="00FA67D2" w:rsidRDefault="00FA67D2">
            <w:pPr>
              <w:pStyle w:val="TableParagraph"/>
            </w:pPr>
          </w:p>
          <w:p w14:paraId="6E1C7A44" w14:textId="77777777" w:rsidR="00FA67D2" w:rsidRDefault="00FA67D2">
            <w:pPr>
              <w:pStyle w:val="TableParagraph"/>
              <w:spacing w:before="2"/>
              <w:rPr>
                <w:sz w:val="31"/>
              </w:rPr>
            </w:pPr>
          </w:p>
          <w:p w14:paraId="558B6F6C" w14:textId="77777777" w:rsidR="00FA67D2" w:rsidRDefault="00C91F95">
            <w:pPr>
              <w:pStyle w:val="TableParagraph"/>
              <w:ind w:left="114" w:right="393"/>
              <w:jc w:val="both"/>
            </w:pPr>
            <w:r>
              <w:t>Program element in place, but mostly out of compliance (major corrections needed)</w:t>
            </w:r>
          </w:p>
        </w:tc>
      </w:tr>
    </w:tbl>
    <w:p w14:paraId="339AF154" w14:textId="77777777" w:rsidR="00FA67D2" w:rsidRDefault="00FA67D2">
      <w:pPr>
        <w:jc w:val="both"/>
        <w:sectPr w:rsidR="00FA67D2">
          <w:pgSz w:w="12240" w:h="15840"/>
          <w:pgMar w:top="1320" w:right="1200" w:bottom="1160" w:left="1220" w:header="733" w:footer="967" w:gutter="0"/>
          <w:cols w:space="720"/>
        </w:sectPr>
      </w:pPr>
    </w:p>
    <w:p w14:paraId="5A28FF4D" w14:textId="77777777" w:rsidR="00FA67D2" w:rsidRDefault="00FA67D2">
      <w:pPr>
        <w:pStyle w:val="BodyText"/>
        <w:spacing w:before="6"/>
        <w:rPr>
          <w:sz w:val="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4"/>
        <w:gridCol w:w="4111"/>
        <w:gridCol w:w="3881"/>
      </w:tblGrid>
      <w:tr w:rsidR="00FA67D2" w14:paraId="6FA653A1" w14:textId="77777777">
        <w:trPr>
          <w:trHeight w:val="2497"/>
        </w:trPr>
        <w:tc>
          <w:tcPr>
            <w:tcW w:w="1584" w:type="dxa"/>
            <w:shd w:val="clear" w:color="auto" w:fill="DCC695"/>
          </w:tcPr>
          <w:p w14:paraId="71D71A5E" w14:textId="77777777" w:rsidR="00FA67D2" w:rsidRDefault="00FA67D2">
            <w:pPr>
              <w:pStyle w:val="TableParagraph"/>
            </w:pPr>
          </w:p>
          <w:p w14:paraId="641B697A" w14:textId="77777777" w:rsidR="00FA67D2" w:rsidRDefault="00FA67D2">
            <w:pPr>
              <w:pStyle w:val="TableParagraph"/>
            </w:pPr>
          </w:p>
          <w:p w14:paraId="0AAA6BBA" w14:textId="77777777" w:rsidR="00FA67D2" w:rsidRDefault="00FA67D2">
            <w:pPr>
              <w:pStyle w:val="TableParagraph"/>
            </w:pPr>
          </w:p>
          <w:p w14:paraId="46F38275" w14:textId="77777777" w:rsidR="00FA67D2" w:rsidRDefault="00FA67D2">
            <w:pPr>
              <w:pStyle w:val="TableParagraph"/>
              <w:spacing w:before="2"/>
              <w:rPr>
                <w:sz w:val="20"/>
              </w:rPr>
            </w:pPr>
          </w:p>
          <w:p w14:paraId="06E08BB6" w14:textId="77777777" w:rsidR="00FA67D2" w:rsidRDefault="00C91F95">
            <w:pPr>
              <w:pStyle w:val="TableParagraph"/>
              <w:spacing w:before="1"/>
              <w:ind w:left="115"/>
              <w:rPr>
                <w:b/>
              </w:rPr>
            </w:pPr>
            <w:r>
              <w:rPr>
                <w:b/>
              </w:rPr>
              <w:t>Minor</w:t>
            </w:r>
          </w:p>
        </w:tc>
        <w:tc>
          <w:tcPr>
            <w:tcW w:w="4111" w:type="dxa"/>
          </w:tcPr>
          <w:p w14:paraId="6F5C8A59" w14:textId="77777777" w:rsidR="00FA67D2" w:rsidRDefault="00C91F95">
            <w:pPr>
              <w:pStyle w:val="TableParagraph"/>
              <w:spacing w:before="40"/>
              <w:ind w:left="114" w:right="533"/>
            </w:pPr>
            <w:r>
              <w:t>Violations with evidence of or are reasonable expected to cause minimal environmental harm involving:</w:t>
            </w:r>
          </w:p>
          <w:p w14:paraId="4C34723D" w14:textId="77777777" w:rsidR="00FA67D2" w:rsidRDefault="00C91F95">
            <w:pPr>
              <w:pStyle w:val="TableParagraph"/>
              <w:numPr>
                <w:ilvl w:val="0"/>
                <w:numId w:val="4"/>
              </w:numPr>
              <w:tabs>
                <w:tab w:val="left" w:pos="782"/>
                <w:tab w:val="left" w:pos="783"/>
              </w:tabs>
              <w:spacing w:before="120"/>
              <w:ind w:right="346"/>
            </w:pPr>
            <w:r>
              <w:t>Planning processes (controls on new development and significant re-development)</w:t>
            </w:r>
          </w:p>
          <w:p w14:paraId="130F7C62" w14:textId="77777777" w:rsidR="00FA67D2" w:rsidRDefault="00C91F95">
            <w:pPr>
              <w:pStyle w:val="TableParagraph"/>
              <w:numPr>
                <w:ilvl w:val="0"/>
                <w:numId w:val="4"/>
              </w:numPr>
              <w:tabs>
                <w:tab w:val="left" w:pos="782"/>
                <w:tab w:val="left" w:pos="783"/>
              </w:tabs>
              <w:ind w:right="443"/>
            </w:pPr>
            <w:r>
              <w:t>Ensuring flood projects consider water</w:t>
            </w:r>
            <w:r>
              <w:rPr>
                <w:spacing w:val="-3"/>
              </w:rPr>
              <w:t xml:space="preserve"> </w:t>
            </w:r>
            <w:r>
              <w:t>quality</w:t>
            </w:r>
          </w:p>
        </w:tc>
        <w:tc>
          <w:tcPr>
            <w:tcW w:w="3881" w:type="dxa"/>
          </w:tcPr>
          <w:p w14:paraId="5423767F" w14:textId="77777777" w:rsidR="00FA67D2" w:rsidRDefault="00FA67D2">
            <w:pPr>
              <w:pStyle w:val="TableParagraph"/>
            </w:pPr>
          </w:p>
          <w:p w14:paraId="6F85B722" w14:textId="77777777" w:rsidR="00FA67D2" w:rsidRDefault="00FA67D2">
            <w:pPr>
              <w:pStyle w:val="TableParagraph"/>
            </w:pPr>
          </w:p>
          <w:p w14:paraId="77CF7AC0" w14:textId="77777777" w:rsidR="00FA67D2" w:rsidRDefault="00FA67D2">
            <w:pPr>
              <w:pStyle w:val="TableParagraph"/>
              <w:spacing w:before="2"/>
              <w:rPr>
                <w:sz w:val="31"/>
              </w:rPr>
            </w:pPr>
          </w:p>
          <w:p w14:paraId="6DA50B10" w14:textId="77777777" w:rsidR="00FA67D2" w:rsidRDefault="00C91F95">
            <w:pPr>
              <w:pStyle w:val="TableParagraph"/>
              <w:ind w:left="115" w:right="126"/>
            </w:pPr>
            <w:r>
              <w:t>Program element in place, and mostly in compliance (minor corrections needed)</w:t>
            </w:r>
          </w:p>
        </w:tc>
      </w:tr>
    </w:tbl>
    <w:p w14:paraId="5AE33A34" w14:textId="77777777" w:rsidR="00FA67D2" w:rsidRDefault="00FA67D2">
      <w:pPr>
        <w:pStyle w:val="BodyText"/>
        <w:rPr>
          <w:sz w:val="20"/>
        </w:rPr>
      </w:pPr>
    </w:p>
    <w:p w14:paraId="5A3CBA53" w14:textId="77777777" w:rsidR="00FA67D2" w:rsidRDefault="00FA67D2">
      <w:pPr>
        <w:pStyle w:val="BodyText"/>
        <w:spacing w:before="11"/>
      </w:pPr>
    </w:p>
    <w:p w14:paraId="66C4EF65" w14:textId="77777777" w:rsidR="00FA67D2" w:rsidRDefault="00C91F95">
      <w:pPr>
        <w:pStyle w:val="Heading2"/>
      </w:pPr>
      <w:r>
        <w:t>Matrix Factors—Phase II Mun</w:t>
      </w:r>
      <w:bookmarkStart w:id="5" w:name="Matrix_Factors—Phase_II_Municipal_Separa"/>
      <w:bookmarkEnd w:id="5"/>
      <w:r>
        <w:t>icipal Separate Storm Sewer System Violations</w:t>
      </w:r>
    </w:p>
    <w:p w14:paraId="2C20EF74" w14:textId="77777777" w:rsidR="00FA67D2" w:rsidRDefault="00C91F95">
      <w:pPr>
        <w:pStyle w:val="BodyText"/>
        <w:spacing w:before="43" w:line="276" w:lineRule="auto"/>
        <w:ind w:left="219"/>
      </w:pPr>
      <w:r>
        <w:t>The extent of environmental harm for Phase II MS4 violations is based upon which minimum control measure of the permit is in violation (e.g., detecting illicit discharges versus educating the public). The extent of deviation depends on whether the minimum control measure was in place, and, if in place, whether there were minor or major corrections necessary to return to compliance.</w:t>
      </w:r>
    </w:p>
    <w:p w14:paraId="068EEEFD" w14:textId="77777777" w:rsidR="00FA67D2" w:rsidRDefault="00FA67D2">
      <w:pPr>
        <w:pStyle w:val="BodyText"/>
        <w:spacing w:before="2"/>
        <w:rPr>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4"/>
        <w:gridCol w:w="4202"/>
        <w:gridCol w:w="3789"/>
      </w:tblGrid>
      <w:tr w:rsidR="00FA67D2" w14:paraId="60BF4C0E" w14:textId="77777777">
        <w:trPr>
          <w:trHeight w:val="472"/>
        </w:trPr>
        <w:tc>
          <w:tcPr>
            <w:tcW w:w="1584" w:type="dxa"/>
            <w:shd w:val="clear" w:color="auto" w:fill="C5A04F"/>
          </w:tcPr>
          <w:p w14:paraId="34731C14" w14:textId="77777777" w:rsidR="00FA67D2" w:rsidRDefault="00C91F95">
            <w:pPr>
              <w:pStyle w:val="TableParagraph"/>
              <w:spacing w:before="40"/>
              <w:ind w:left="175"/>
              <w:rPr>
                <w:b/>
              </w:rPr>
            </w:pPr>
            <w:r>
              <w:rPr>
                <w:b/>
              </w:rPr>
              <w:t>Matrix Factor</w:t>
            </w:r>
          </w:p>
        </w:tc>
        <w:tc>
          <w:tcPr>
            <w:tcW w:w="4202" w:type="dxa"/>
            <w:shd w:val="clear" w:color="auto" w:fill="DCC695"/>
          </w:tcPr>
          <w:p w14:paraId="3F08FFA3" w14:textId="77777777" w:rsidR="00FA67D2" w:rsidRDefault="00C91F95">
            <w:pPr>
              <w:pStyle w:val="TableParagraph"/>
              <w:spacing w:before="40"/>
              <w:ind w:left="1151"/>
              <w:rPr>
                <w:b/>
              </w:rPr>
            </w:pPr>
            <w:r>
              <w:rPr>
                <w:b/>
              </w:rPr>
              <w:t>Environmental Harm</w:t>
            </w:r>
          </w:p>
        </w:tc>
        <w:tc>
          <w:tcPr>
            <w:tcW w:w="3789" w:type="dxa"/>
            <w:shd w:val="clear" w:color="auto" w:fill="DCC695"/>
          </w:tcPr>
          <w:p w14:paraId="5743D7EC" w14:textId="77777777" w:rsidR="00FA67D2" w:rsidRDefault="00C91F95">
            <w:pPr>
              <w:pStyle w:val="TableParagraph"/>
              <w:spacing w:before="40"/>
              <w:ind w:left="141"/>
              <w:rPr>
                <w:b/>
              </w:rPr>
            </w:pPr>
            <w:r>
              <w:rPr>
                <w:b/>
              </w:rPr>
              <w:t>Extent of Deviation from Requirement</w:t>
            </w:r>
          </w:p>
        </w:tc>
      </w:tr>
      <w:tr w:rsidR="00FA67D2" w14:paraId="537EBCE3" w14:textId="77777777">
        <w:trPr>
          <w:trHeight w:val="2510"/>
        </w:trPr>
        <w:tc>
          <w:tcPr>
            <w:tcW w:w="1584" w:type="dxa"/>
            <w:shd w:val="clear" w:color="auto" w:fill="DCC695"/>
          </w:tcPr>
          <w:p w14:paraId="25D58E54" w14:textId="77777777" w:rsidR="00FA67D2" w:rsidRDefault="00FA67D2">
            <w:pPr>
              <w:pStyle w:val="TableParagraph"/>
            </w:pPr>
          </w:p>
          <w:p w14:paraId="0CC1ECCF" w14:textId="77777777" w:rsidR="00FA67D2" w:rsidRDefault="00FA67D2">
            <w:pPr>
              <w:pStyle w:val="TableParagraph"/>
            </w:pPr>
          </w:p>
          <w:p w14:paraId="06A66ED6" w14:textId="77777777" w:rsidR="00FA67D2" w:rsidRDefault="00FA67D2">
            <w:pPr>
              <w:pStyle w:val="TableParagraph"/>
            </w:pPr>
          </w:p>
          <w:p w14:paraId="39F6AC9C" w14:textId="77777777" w:rsidR="00FA67D2" w:rsidRDefault="00FA67D2">
            <w:pPr>
              <w:pStyle w:val="TableParagraph"/>
              <w:spacing w:before="10"/>
              <w:rPr>
                <w:sz w:val="20"/>
              </w:rPr>
            </w:pPr>
          </w:p>
          <w:p w14:paraId="47489E3C" w14:textId="77777777" w:rsidR="00FA67D2" w:rsidRDefault="00C91F95">
            <w:pPr>
              <w:pStyle w:val="TableParagraph"/>
              <w:ind w:left="115"/>
              <w:rPr>
                <w:b/>
              </w:rPr>
            </w:pPr>
            <w:r>
              <w:rPr>
                <w:b/>
              </w:rPr>
              <w:t>Major</w:t>
            </w:r>
          </w:p>
        </w:tc>
        <w:tc>
          <w:tcPr>
            <w:tcW w:w="4202" w:type="dxa"/>
          </w:tcPr>
          <w:p w14:paraId="47EB3B2A" w14:textId="77777777" w:rsidR="00FA67D2" w:rsidRDefault="00C91F95">
            <w:pPr>
              <w:pStyle w:val="TableParagraph"/>
              <w:spacing w:before="44" w:line="237" w:lineRule="auto"/>
              <w:ind w:left="115" w:right="847"/>
            </w:pPr>
            <w:r>
              <w:t>Violations which result in significant environmental harm involving:</w:t>
            </w:r>
          </w:p>
          <w:p w14:paraId="26498C28" w14:textId="77777777" w:rsidR="00FA67D2" w:rsidRDefault="00C91F95">
            <w:pPr>
              <w:pStyle w:val="TableParagraph"/>
              <w:numPr>
                <w:ilvl w:val="0"/>
                <w:numId w:val="3"/>
              </w:numPr>
              <w:tabs>
                <w:tab w:val="left" w:pos="782"/>
                <w:tab w:val="left" w:pos="783"/>
              </w:tabs>
              <w:spacing w:before="122"/>
              <w:ind w:right="784"/>
            </w:pPr>
            <w:r>
              <w:t>Illicit discharge detection and elimination</w:t>
            </w:r>
          </w:p>
          <w:p w14:paraId="6E92A276" w14:textId="77777777" w:rsidR="00FA67D2" w:rsidRDefault="00C91F95">
            <w:pPr>
              <w:pStyle w:val="TableParagraph"/>
              <w:numPr>
                <w:ilvl w:val="0"/>
                <w:numId w:val="3"/>
              </w:numPr>
              <w:tabs>
                <w:tab w:val="left" w:pos="782"/>
                <w:tab w:val="left" w:pos="783"/>
              </w:tabs>
              <w:spacing w:before="1"/>
              <w:ind w:right="176"/>
            </w:pPr>
            <w:r>
              <w:t>Construction site stormwater runoff control</w:t>
            </w:r>
          </w:p>
          <w:p w14:paraId="0A6F7119" w14:textId="77777777" w:rsidR="00FA67D2" w:rsidRDefault="00C91F95">
            <w:pPr>
              <w:pStyle w:val="TableParagraph"/>
              <w:numPr>
                <w:ilvl w:val="0"/>
                <w:numId w:val="3"/>
              </w:numPr>
              <w:tabs>
                <w:tab w:val="left" w:pos="782"/>
                <w:tab w:val="left" w:pos="783"/>
              </w:tabs>
              <w:spacing w:before="2" w:line="237" w:lineRule="auto"/>
              <w:ind w:right="238"/>
            </w:pPr>
            <w:r>
              <w:t>Municipal operation pollution prevention and good</w:t>
            </w:r>
            <w:r>
              <w:rPr>
                <w:spacing w:val="-11"/>
              </w:rPr>
              <w:t xml:space="preserve"> </w:t>
            </w:r>
            <w:r>
              <w:t>housekeeping</w:t>
            </w:r>
          </w:p>
        </w:tc>
        <w:tc>
          <w:tcPr>
            <w:tcW w:w="3789" w:type="dxa"/>
          </w:tcPr>
          <w:p w14:paraId="705272AB" w14:textId="77777777" w:rsidR="00FA67D2" w:rsidRDefault="00FA67D2">
            <w:pPr>
              <w:pStyle w:val="TableParagraph"/>
            </w:pPr>
          </w:p>
          <w:p w14:paraId="2605F8DE" w14:textId="77777777" w:rsidR="00FA67D2" w:rsidRDefault="00FA67D2">
            <w:pPr>
              <w:pStyle w:val="TableParagraph"/>
            </w:pPr>
          </w:p>
          <w:p w14:paraId="4E29221B" w14:textId="77777777" w:rsidR="00FA67D2" w:rsidRDefault="00FA67D2">
            <w:pPr>
              <w:pStyle w:val="TableParagraph"/>
            </w:pPr>
          </w:p>
          <w:p w14:paraId="1B0E4E43" w14:textId="77777777" w:rsidR="00FA67D2" w:rsidRDefault="00FA67D2">
            <w:pPr>
              <w:pStyle w:val="TableParagraph"/>
              <w:spacing w:before="10"/>
              <w:rPr>
                <w:sz w:val="20"/>
              </w:rPr>
            </w:pPr>
          </w:p>
          <w:p w14:paraId="0EDD1BC3" w14:textId="77777777" w:rsidR="00FA67D2" w:rsidRDefault="00C91F95">
            <w:pPr>
              <w:pStyle w:val="TableParagraph"/>
              <w:ind w:left="113"/>
            </w:pPr>
            <w:r>
              <w:t>Control measure not in place</w:t>
            </w:r>
          </w:p>
        </w:tc>
      </w:tr>
      <w:tr w:rsidR="00FA67D2" w14:paraId="3AD92E03" w14:textId="77777777">
        <w:trPr>
          <w:trHeight w:val="1413"/>
        </w:trPr>
        <w:tc>
          <w:tcPr>
            <w:tcW w:w="1584" w:type="dxa"/>
            <w:shd w:val="clear" w:color="auto" w:fill="DCC695"/>
          </w:tcPr>
          <w:p w14:paraId="40214162" w14:textId="77777777" w:rsidR="00FA67D2" w:rsidRDefault="00FA67D2">
            <w:pPr>
              <w:pStyle w:val="TableParagraph"/>
            </w:pPr>
          </w:p>
          <w:p w14:paraId="56D61C2D" w14:textId="77777777" w:rsidR="00FA67D2" w:rsidRDefault="00FA67D2">
            <w:pPr>
              <w:pStyle w:val="TableParagraph"/>
              <w:spacing w:before="9"/>
              <w:rPr>
                <w:sz w:val="19"/>
              </w:rPr>
            </w:pPr>
          </w:p>
          <w:p w14:paraId="6F03C070" w14:textId="77777777" w:rsidR="00FA67D2" w:rsidRDefault="00C91F95">
            <w:pPr>
              <w:pStyle w:val="TableParagraph"/>
              <w:spacing w:before="1"/>
              <w:ind w:left="115"/>
              <w:rPr>
                <w:b/>
              </w:rPr>
            </w:pPr>
            <w:r>
              <w:rPr>
                <w:b/>
              </w:rPr>
              <w:t>Moderate</w:t>
            </w:r>
          </w:p>
        </w:tc>
        <w:tc>
          <w:tcPr>
            <w:tcW w:w="4202" w:type="dxa"/>
          </w:tcPr>
          <w:p w14:paraId="7DFA7D92" w14:textId="77777777" w:rsidR="00FA67D2" w:rsidRDefault="00C91F95">
            <w:pPr>
              <w:pStyle w:val="TableParagraph"/>
              <w:spacing w:before="40"/>
              <w:ind w:left="115" w:right="287"/>
            </w:pPr>
            <w:r>
              <w:t>Violations which caused or are reasonable expected to cause environmental harm involving failed:</w:t>
            </w:r>
          </w:p>
          <w:p w14:paraId="0DB05808" w14:textId="77777777" w:rsidR="00FA67D2" w:rsidRDefault="00C91F95">
            <w:pPr>
              <w:pStyle w:val="TableParagraph"/>
              <w:numPr>
                <w:ilvl w:val="0"/>
                <w:numId w:val="2"/>
              </w:numPr>
              <w:tabs>
                <w:tab w:val="left" w:pos="782"/>
                <w:tab w:val="left" w:pos="783"/>
              </w:tabs>
              <w:spacing w:before="121"/>
            </w:pPr>
            <w:r>
              <w:t>Public education and</w:t>
            </w:r>
            <w:r>
              <w:rPr>
                <w:spacing w:val="-5"/>
              </w:rPr>
              <w:t xml:space="preserve"> </w:t>
            </w:r>
            <w:r>
              <w:t>outreach</w:t>
            </w:r>
          </w:p>
        </w:tc>
        <w:tc>
          <w:tcPr>
            <w:tcW w:w="3789" w:type="dxa"/>
          </w:tcPr>
          <w:p w14:paraId="412DE679" w14:textId="77777777" w:rsidR="00FA67D2" w:rsidRDefault="00FA67D2">
            <w:pPr>
              <w:pStyle w:val="TableParagraph"/>
              <w:spacing w:before="9"/>
              <w:rPr>
                <w:sz w:val="19"/>
              </w:rPr>
            </w:pPr>
          </w:p>
          <w:p w14:paraId="18EF994F" w14:textId="77777777" w:rsidR="00FA67D2" w:rsidRDefault="00C91F95">
            <w:pPr>
              <w:pStyle w:val="TableParagraph"/>
              <w:ind w:left="113" w:right="349"/>
              <w:jc w:val="both"/>
            </w:pPr>
            <w:r>
              <w:t>Control measure in place, but mostly out of compliance (major corrections needed)</w:t>
            </w:r>
          </w:p>
        </w:tc>
      </w:tr>
      <w:tr w:rsidR="00FA67D2" w14:paraId="47B063E6" w14:textId="77777777">
        <w:trPr>
          <w:trHeight w:val="1410"/>
        </w:trPr>
        <w:tc>
          <w:tcPr>
            <w:tcW w:w="1584" w:type="dxa"/>
            <w:shd w:val="clear" w:color="auto" w:fill="DCC695"/>
          </w:tcPr>
          <w:p w14:paraId="38C6F96A" w14:textId="77777777" w:rsidR="00FA67D2" w:rsidRDefault="00FA67D2">
            <w:pPr>
              <w:pStyle w:val="TableParagraph"/>
            </w:pPr>
          </w:p>
          <w:p w14:paraId="445B268F" w14:textId="77777777" w:rsidR="00FA67D2" w:rsidRDefault="00FA67D2">
            <w:pPr>
              <w:pStyle w:val="TableParagraph"/>
              <w:spacing w:before="7"/>
              <w:rPr>
                <w:sz w:val="19"/>
              </w:rPr>
            </w:pPr>
          </w:p>
          <w:p w14:paraId="77E307A0" w14:textId="77777777" w:rsidR="00FA67D2" w:rsidRDefault="00C91F95">
            <w:pPr>
              <w:pStyle w:val="TableParagraph"/>
              <w:ind w:left="115"/>
              <w:rPr>
                <w:b/>
              </w:rPr>
            </w:pPr>
            <w:r>
              <w:rPr>
                <w:b/>
              </w:rPr>
              <w:t>Minor</w:t>
            </w:r>
          </w:p>
        </w:tc>
        <w:tc>
          <w:tcPr>
            <w:tcW w:w="4202" w:type="dxa"/>
          </w:tcPr>
          <w:p w14:paraId="5BA8707F" w14:textId="77777777" w:rsidR="00FA67D2" w:rsidRDefault="00C91F95">
            <w:pPr>
              <w:pStyle w:val="TableParagraph"/>
              <w:spacing w:before="40"/>
              <w:ind w:left="115" w:right="623"/>
            </w:pPr>
            <w:r>
              <w:t>Violations with evidence of or are reasonable expected to cause minimal environmental harm involving:</w:t>
            </w:r>
          </w:p>
          <w:p w14:paraId="67F09D36" w14:textId="77777777" w:rsidR="00FA67D2" w:rsidRDefault="00C91F95">
            <w:pPr>
              <w:pStyle w:val="TableParagraph"/>
              <w:numPr>
                <w:ilvl w:val="0"/>
                <w:numId w:val="1"/>
              </w:numPr>
              <w:tabs>
                <w:tab w:val="left" w:pos="782"/>
                <w:tab w:val="left" w:pos="783"/>
              </w:tabs>
              <w:spacing w:before="121"/>
            </w:pPr>
            <w:r>
              <w:t>Public participation and</w:t>
            </w:r>
            <w:r>
              <w:rPr>
                <w:spacing w:val="-10"/>
              </w:rPr>
              <w:t xml:space="preserve"> </w:t>
            </w:r>
            <w:r>
              <w:t>involvement</w:t>
            </w:r>
          </w:p>
        </w:tc>
        <w:tc>
          <w:tcPr>
            <w:tcW w:w="3789" w:type="dxa"/>
          </w:tcPr>
          <w:p w14:paraId="14CC2219" w14:textId="77777777" w:rsidR="00FA67D2" w:rsidRDefault="00FA67D2">
            <w:pPr>
              <w:pStyle w:val="TableParagraph"/>
              <w:spacing w:before="7"/>
              <w:rPr>
                <w:sz w:val="30"/>
              </w:rPr>
            </w:pPr>
          </w:p>
          <w:p w14:paraId="7644C7C2" w14:textId="77777777" w:rsidR="00FA67D2" w:rsidRDefault="00C91F95">
            <w:pPr>
              <w:pStyle w:val="TableParagraph"/>
              <w:ind w:left="113" w:right="104"/>
            </w:pPr>
            <w:r>
              <w:t>Control measure in place, and mostly in compliance (minor corrections needed)</w:t>
            </w:r>
          </w:p>
        </w:tc>
      </w:tr>
    </w:tbl>
    <w:p w14:paraId="54F5434C" w14:textId="77777777" w:rsidR="00C91F95" w:rsidRDefault="00C91F95"/>
    <w:sectPr w:rsidR="00C91F95">
      <w:pgSz w:w="12240" w:h="15840"/>
      <w:pgMar w:top="1320" w:right="1200" w:bottom="1160" w:left="1220" w:header="733" w:footer="9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B271C" w14:textId="77777777" w:rsidR="00CF6642" w:rsidRDefault="00CF6642">
      <w:r>
        <w:separator/>
      </w:r>
    </w:p>
  </w:endnote>
  <w:endnote w:type="continuationSeparator" w:id="0">
    <w:p w14:paraId="5FFA95BF" w14:textId="77777777" w:rsidR="00CF6642" w:rsidRDefault="00CF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41F45" w14:textId="39CC5952" w:rsidR="00FA67D2" w:rsidRDefault="00B34B4F">
    <w:pPr>
      <w:pStyle w:val="BodyText"/>
      <w:spacing w:line="14" w:lineRule="auto"/>
      <w:rPr>
        <w:sz w:val="20"/>
      </w:rPr>
    </w:pPr>
    <w:r>
      <w:rPr>
        <w:noProof/>
      </w:rPr>
      <mc:AlternateContent>
        <mc:Choice Requires="wps">
          <w:drawing>
            <wp:anchor distT="0" distB="0" distL="114300" distR="114300" simplePos="0" relativeHeight="250947584" behindDoc="1" locked="0" layoutInCell="1" allowOverlap="1" wp14:anchorId="3CA8A0A0" wp14:editId="0857DE52">
              <wp:simplePos x="0" y="0"/>
              <wp:positionH relativeFrom="page">
                <wp:posOffset>901700</wp:posOffset>
              </wp:positionH>
              <wp:positionV relativeFrom="page">
                <wp:posOffset>9302750</wp:posOffset>
              </wp:positionV>
              <wp:extent cx="4216400" cy="228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E10D9" w14:textId="0E27A764" w:rsidR="00FA67D2" w:rsidRDefault="00C91F95">
                          <w:pPr>
                            <w:spacing w:line="223" w:lineRule="exact"/>
                            <w:ind w:left="20"/>
                            <w:rPr>
                              <w:sz w:val="20"/>
                            </w:rPr>
                          </w:pPr>
                          <w:r>
                            <w:rPr>
                              <w:sz w:val="20"/>
                            </w:rPr>
                            <w:t xml:space="preserve">Version </w:t>
                          </w:r>
                          <w:r w:rsidR="00A96476">
                            <w:rPr>
                              <w:sz w:val="20"/>
                            </w:rPr>
                            <w:t>4</w:t>
                          </w:r>
                          <w:r w:rsidR="008368F1">
                            <w:rPr>
                              <w:sz w:val="20"/>
                            </w:rPr>
                            <w:t xml:space="preserve"> </w:t>
                          </w:r>
                          <w:r>
                            <w:rPr>
                              <w:sz w:val="20"/>
                            </w:rPr>
                            <w:t xml:space="preserve">// Revision date: </w:t>
                          </w:r>
                          <w:r w:rsidR="00A96476" w:rsidRPr="00A96476">
                            <w:t xml:space="preserve"> </w:t>
                          </w:r>
                          <w:r w:rsidR="00A96476" w:rsidRPr="00A96476">
                            <w:rPr>
                              <w:sz w:val="20"/>
                            </w:rPr>
                            <w:t>07/01/2020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8A0A0" id="_x0000_t202" coordsize="21600,21600" o:spt="202" path="m,l,21600r21600,l21600,xe">
              <v:stroke joinstyle="miter"/>
              <v:path gradientshapeok="t" o:connecttype="rect"/>
            </v:shapetype>
            <v:shape id="_x0000_s1030" type="#_x0000_t202" style="position:absolute;margin-left:71pt;margin-top:732.5pt;width:332pt;height:18pt;z-index:-25236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" filled="f" stroked="f">
              <v:textbox inset="0,0,0,0">
                <w:txbxContent>
                  <w:p w14:paraId="239E10D9" w14:textId="0E27A764" w:rsidR="00FA67D2" w:rsidRDefault="00C91F95">
                    <w:pPr>
                      <w:spacing w:line="223" w:lineRule="exact"/>
                      <w:ind w:left="20"/>
                      <w:rPr>
                        <w:sz w:val="20"/>
                      </w:rPr>
                    </w:pPr>
                    <w:r>
                      <w:rPr>
                        <w:sz w:val="20"/>
                      </w:rPr>
                      <w:t xml:space="preserve">Version </w:t>
                    </w:r>
                    <w:r w:rsidR="00A96476">
                      <w:rPr>
                        <w:sz w:val="20"/>
                      </w:rPr>
                      <w:t>4</w:t>
                    </w:r>
                    <w:r w:rsidR="008368F1">
                      <w:rPr>
                        <w:sz w:val="20"/>
                      </w:rPr>
                      <w:t xml:space="preserve"> </w:t>
                    </w:r>
                    <w:r>
                      <w:rPr>
                        <w:sz w:val="20"/>
                      </w:rPr>
                      <w:t xml:space="preserve">// Revision date: </w:t>
                    </w:r>
                    <w:r w:rsidR="00A96476" w:rsidRPr="00A96476">
                      <w:t xml:space="preserve"> </w:t>
                    </w:r>
                    <w:r w:rsidR="00A96476" w:rsidRPr="00A96476">
                      <w:rPr>
                        <w:sz w:val="20"/>
                      </w:rPr>
                      <w:t>07/01/2020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E6602" w14:textId="1B383217" w:rsidR="00FA67D2" w:rsidRDefault="00B34B4F">
    <w:pPr>
      <w:pStyle w:val="BodyText"/>
      <w:spacing w:line="14" w:lineRule="auto"/>
      <w:rPr>
        <w:sz w:val="20"/>
      </w:rPr>
    </w:pPr>
    <w:r>
      <w:rPr>
        <w:noProof/>
      </w:rPr>
      <mc:AlternateContent>
        <mc:Choice Requires="wps">
          <w:drawing>
            <wp:anchor distT="0" distB="0" distL="114300" distR="114300" simplePos="0" relativeHeight="250949632" behindDoc="1" locked="0" layoutInCell="1" allowOverlap="1" wp14:anchorId="6E6CD0C3" wp14:editId="3E2B6E8E">
              <wp:simplePos x="0" y="0"/>
              <wp:positionH relativeFrom="page">
                <wp:posOffset>901700</wp:posOffset>
              </wp:positionH>
              <wp:positionV relativeFrom="page">
                <wp:posOffset>9302750</wp:posOffset>
              </wp:positionV>
              <wp:extent cx="3149600" cy="139700"/>
              <wp:effectExtent l="0" t="0" r="1270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63176" w14:textId="024602E5" w:rsidR="00A96476" w:rsidRDefault="00A96476" w:rsidP="00A96476">
                          <w:pPr>
                            <w:spacing w:line="223" w:lineRule="exact"/>
                            <w:ind w:left="20"/>
                            <w:rPr>
                              <w:sz w:val="20"/>
                            </w:rPr>
                          </w:pPr>
                          <w:r>
                            <w:rPr>
                              <w:sz w:val="20"/>
                            </w:rPr>
                            <w:t xml:space="preserve">Version 4 // Revision date: </w:t>
                          </w:r>
                          <w:r w:rsidRPr="00A96476">
                            <w:rPr>
                              <w:sz w:val="20"/>
                            </w:rPr>
                            <w:t>07/01/2020</w:t>
                          </w:r>
                        </w:p>
                        <w:p w14:paraId="3DE53EC8" w14:textId="2AA175BA" w:rsidR="00FA67D2" w:rsidRDefault="00FA67D2">
                          <w:pPr>
                            <w:spacing w:line="223" w:lineRule="exact"/>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CD0C3" id="_x0000_t202" coordsize="21600,21600" o:spt="202" path="m,l,21600r21600,l21600,xe">
              <v:stroke joinstyle="miter"/>
              <v:path gradientshapeok="t" o:connecttype="rect"/>
            </v:shapetype>
            <v:shape id="_x0000_s1032" type="#_x0000_t202" style="position:absolute;margin-left:71pt;margin-top:732.5pt;width:248pt;height:11pt;z-index:-25236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" filled="f" stroked="f">
              <v:textbox inset="0,0,0,0">
                <w:txbxContent>
                  <w:p w14:paraId="5AD63176" w14:textId="024602E5" w:rsidR="00A96476" w:rsidRDefault="00A96476" w:rsidP="00A96476">
                    <w:pPr>
                      <w:spacing w:line="223" w:lineRule="exact"/>
                      <w:ind w:left="20"/>
                      <w:rPr>
                        <w:sz w:val="20"/>
                      </w:rPr>
                    </w:pPr>
                    <w:r>
                      <w:rPr>
                        <w:sz w:val="20"/>
                      </w:rPr>
                      <w:t xml:space="preserve">Version 4 // Revision date: </w:t>
                    </w:r>
                    <w:r w:rsidRPr="00A96476">
                      <w:rPr>
                        <w:sz w:val="20"/>
                      </w:rPr>
                      <w:t>07/01/2020</w:t>
                    </w:r>
                  </w:p>
                  <w:p w14:paraId="3DE53EC8" w14:textId="2AA175BA" w:rsidR="00FA67D2" w:rsidRDefault="00FA67D2">
                    <w:pPr>
                      <w:spacing w:line="223" w:lineRule="exact"/>
                      <w:ind w:left="20"/>
                      <w:rPr>
                        <w:sz w:val="20"/>
                      </w:rPr>
                    </w:pPr>
                  </w:p>
                </w:txbxContent>
              </v:textbox>
              <w10:wrap anchorx="page" anchory="page"/>
            </v:shape>
          </w:pict>
        </mc:Fallback>
      </mc:AlternateContent>
    </w:r>
    <w:r>
      <w:rPr>
        <w:noProof/>
      </w:rPr>
      <mc:AlternateContent>
        <mc:Choice Requires="wps">
          <w:drawing>
            <wp:anchor distT="0" distB="0" distL="114300" distR="114300" simplePos="0" relativeHeight="250950656" behindDoc="1" locked="0" layoutInCell="1" allowOverlap="1" wp14:anchorId="5F91AEF7" wp14:editId="068497BE">
              <wp:simplePos x="0" y="0"/>
              <wp:positionH relativeFrom="page">
                <wp:posOffset>6755765</wp:posOffset>
              </wp:positionH>
              <wp:positionV relativeFrom="page">
                <wp:posOffset>9304655</wp:posOffset>
              </wp:positionV>
              <wp:extent cx="14033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479C0" w14:textId="77777777" w:rsidR="00FA67D2" w:rsidRDefault="00C91F95">
                          <w:pPr>
                            <w:spacing w:line="223" w:lineRule="exact"/>
                            <w:ind w:left="60"/>
                            <w:rPr>
                              <w:sz w:val="20"/>
                            </w:rPr>
                          </w:pPr>
                          <w:r>
                            <w:fldChar w:fldCharType="begin"/>
                          </w:r>
                          <w:r>
                            <w:rPr>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1AEF7" id="Text Box 1" o:spid="_x0000_s1033" type="#_x0000_t202" style="position:absolute;margin-left:531.95pt;margin-top:732.65pt;width:11.05pt;height:12pt;z-index:-25236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" filled="f" stroked="f">
              <v:textbox inset="0,0,0,0">
                <w:txbxContent>
                  <w:p w14:paraId="70B479C0" w14:textId="77777777" w:rsidR="00FA67D2" w:rsidRDefault="00C91F95">
                    <w:pPr>
                      <w:spacing w:line="223" w:lineRule="exact"/>
                      <w:ind w:left="6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B3DFA" w14:textId="77777777" w:rsidR="00CF6642" w:rsidRDefault="00CF6642">
      <w:r>
        <w:separator/>
      </w:r>
    </w:p>
  </w:footnote>
  <w:footnote w:type="continuationSeparator" w:id="0">
    <w:p w14:paraId="5590EC6E" w14:textId="77777777" w:rsidR="00CF6642" w:rsidRDefault="00CF6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660B6" w14:textId="38A67838" w:rsidR="00FA67D2" w:rsidRDefault="00B34B4F">
    <w:pPr>
      <w:pStyle w:val="BodyText"/>
      <w:spacing w:line="14" w:lineRule="auto"/>
      <w:rPr>
        <w:sz w:val="20"/>
      </w:rPr>
    </w:pPr>
    <w:r>
      <w:rPr>
        <w:noProof/>
      </w:rPr>
      <mc:AlternateContent>
        <mc:Choice Requires="wps">
          <w:drawing>
            <wp:anchor distT="0" distB="0" distL="114300" distR="114300" simplePos="0" relativeHeight="250946560" behindDoc="1" locked="0" layoutInCell="1" allowOverlap="1" wp14:anchorId="5BF40D21" wp14:editId="2BB422C4">
              <wp:simplePos x="0" y="0"/>
              <wp:positionH relativeFrom="page">
                <wp:posOffset>901700</wp:posOffset>
              </wp:positionH>
              <wp:positionV relativeFrom="page">
                <wp:posOffset>452755</wp:posOffset>
              </wp:positionV>
              <wp:extent cx="5987415" cy="26543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41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8B752" w14:textId="77777777" w:rsidR="00FA67D2" w:rsidRDefault="00C91F95">
                          <w:pPr>
                            <w:tabs>
                              <w:tab w:val="left" w:pos="9408"/>
                            </w:tabs>
                            <w:spacing w:before="6"/>
                            <w:ind w:left="20"/>
                            <w:rPr>
                              <w:rFonts w:ascii="Times New Roman"/>
                              <w:b/>
                              <w:sz w:val="34"/>
                            </w:rPr>
                          </w:pPr>
                          <w:r>
                            <w:rPr>
                              <w:rFonts w:ascii="Times New Roman"/>
                              <w:b/>
                              <w:sz w:val="34"/>
                              <w:u w:val="single"/>
                            </w:rPr>
                            <w:t>Guidelines for Characterizing NPDES Stormwater</w:t>
                          </w:r>
                          <w:r>
                            <w:rPr>
                              <w:rFonts w:ascii="Times New Roman"/>
                              <w:b/>
                              <w:spacing w:val="-10"/>
                              <w:sz w:val="34"/>
                              <w:u w:val="single"/>
                            </w:rPr>
                            <w:t xml:space="preserve"> </w:t>
                          </w:r>
                          <w:r>
                            <w:rPr>
                              <w:rFonts w:ascii="Times New Roman"/>
                              <w:b/>
                              <w:sz w:val="34"/>
                              <w:u w:val="single"/>
                            </w:rPr>
                            <w:t>Violations</w:t>
                          </w:r>
                          <w:r>
                            <w:rPr>
                              <w:rFonts w:ascii="Times New Roman"/>
                              <w:b/>
                              <w:sz w:val="3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40D21" id="_x0000_t202" coordsize="21600,21600" o:spt="202" path="m,l,21600r21600,l21600,xe">
              <v:stroke joinstyle="miter"/>
              <v:path gradientshapeok="t" o:connecttype="rect"/>
            </v:shapetype>
            <v:shape id="Text Box 5" o:spid="_x0000_s1029" type="#_x0000_t202" style="position:absolute;margin-left:71pt;margin-top:35.65pt;width:471.45pt;height:20.9pt;z-index:-25236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xt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" filled="f" stroked="f">
              <v:textbox inset="0,0,0,0">
                <w:txbxContent>
                  <w:p w14:paraId="7008B752" w14:textId="77777777" w:rsidR="00FA67D2" w:rsidRDefault="00C91F95">
                    <w:pPr>
                      <w:tabs>
                        <w:tab w:val="left" w:pos="9408"/>
                      </w:tabs>
                      <w:spacing w:before="6"/>
                      <w:ind w:left="20"/>
                      <w:rPr>
                        <w:rFonts w:ascii="Times New Roman"/>
                        <w:b/>
                        <w:sz w:val="34"/>
                      </w:rPr>
                    </w:pPr>
                    <w:r>
                      <w:rPr>
                        <w:rFonts w:ascii="Times New Roman"/>
                        <w:b/>
                        <w:sz w:val="34"/>
                        <w:u w:val="single"/>
                      </w:rPr>
                      <w:t>Guidelines for Characterizing NPDES Stormwater</w:t>
                    </w:r>
                    <w:r>
                      <w:rPr>
                        <w:rFonts w:ascii="Times New Roman"/>
                        <w:b/>
                        <w:spacing w:val="-10"/>
                        <w:sz w:val="34"/>
                        <w:u w:val="single"/>
                      </w:rPr>
                      <w:t xml:space="preserve"> </w:t>
                    </w:r>
                    <w:r>
                      <w:rPr>
                        <w:rFonts w:ascii="Times New Roman"/>
                        <w:b/>
                        <w:sz w:val="34"/>
                        <w:u w:val="single"/>
                      </w:rPr>
                      <w:t>Violations</w:t>
                    </w:r>
                    <w:r>
                      <w:rPr>
                        <w:rFonts w:ascii="Times New Roman"/>
                        <w:b/>
                        <w:sz w:val="34"/>
                        <w:u w:val="single"/>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D0FF3" w14:textId="1638380E" w:rsidR="00FA67D2" w:rsidRDefault="00B34B4F">
    <w:pPr>
      <w:pStyle w:val="BodyText"/>
      <w:spacing w:line="14" w:lineRule="auto"/>
      <w:rPr>
        <w:sz w:val="20"/>
      </w:rPr>
    </w:pPr>
    <w:r>
      <w:rPr>
        <w:noProof/>
      </w:rPr>
      <mc:AlternateContent>
        <mc:Choice Requires="wps">
          <w:drawing>
            <wp:anchor distT="0" distB="0" distL="114300" distR="114300" simplePos="0" relativeHeight="250948608" behindDoc="1" locked="0" layoutInCell="1" allowOverlap="1" wp14:anchorId="2C26FAB6" wp14:editId="1BF4B7B4">
              <wp:simplePos x="0" y="0"/>
              <wp:positionH relativeFrom="page">
                <wp:posOffset>901700</wp:posOffset>
              </wp:positionH>
              <wp:positionV relativeFrom="page">
                <wp:posOffset>452755</wp:posOffset>
              </wp:positionV>
              <wp:extent cx="5987415" cy="2654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41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57690" w14:textId="77777777" w:rsidR="00FA67D2" w:rsidRDefault="00C91F95">
                          <w:pPr>
                            <w:tabs>
                              <w:tab w:val="left" w:pos="9408"/>
                            </w:tabs>
                            <w:spacing w:before="6"/>
                            <w:ind w:left="20"/>
                            <w:rPr>
                              <w:rFonts w:ascii="Times New Roman"/>
                              <w:b/>
                              <w:sz w:val="34"/>
                            </w:rPr>
                          </w:pPr>
                          <w:r>
                            <w:rPr>
                              <w:rFonts w:ascii="Times New Roman"/>
                              <w:b/>
                              <w:sz w:val="34"/>
                              <w:u w:val="single"/>
                            </w:rPr>
                            <w:t>Guidelines for Characterizing NPDES Stormwater</w:t>
                          </w:r>
                          <w:r>
                            <w:rPr>
                              <w:rFonts w:ascii="Times New Roman"/>
                              <w:b/>
                              <w:spacing w:val="-9"/>
                              <w:sz w:val="34"/>
                              <w:u w:val="single"/>
                            </w:rPr>
                            <w:t xml:space="preserve"> </w:t>
                          </w:r>
                          <w:r>
                            <w:rPr>
                              <w:rFonts w:ascii="Times New Roman"/>
                              <w:b/>
                              <w:sz w:val="34"/>
                              <w:u w:val="single"/>
                            </w:rPr>
                            <w:t>Violations</w:t>
                          </w:r>
                          <w:r>
                            <w:rPr>
                              <w:rFonts w:ascii="Times New Roman"/>
                              <w:b/>
                              <w:sz w:val="3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6FAB6" id="_x0000_t202" coordsize="21600,21600" o:spt="202" path="m,l,21600r21600,l21600,xe">
              <v:stroke joinstyle="miter"/>
              <v:path gradientshapeok="t" o:connecttype="rect"/>
            </v:shapetype>
            <v:shape id="_x0000_s1031" type="#_x0000_t202" style="position:absolute;margin-left:71pt;margin-top:35.65pt;width:471.45pt;height:20.9pt;z-index:-25236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" filled="f" stroked="f">
              <v:textbox inset="0,0,0,0">
                <w:txbxContent>
                  <w:p w14:paraId="4EC57690" w14:textId="77777777" w:rsidR="00FA67D2" w:rsidRDefault="00C91F95">
                    <w:pPr>
                      <w:tabs>
                        <w:tab w:val="left" w:pos="9408"/>
                      </w:tabs>
                      <w:spacing w:before="6"/>
                      <w:ind w:left="20"/>
                      <w:rPr>
                        <w:rFonts w:ascii="Times New Roman"/>
                        <w:b/>
                        <w:sz w:val="34"/>
                      </w:rPr>
                    </w:pPr>
                    <w:r>
                      <w:rPr>
                        <w:rFonts w:ascii="Times New Roman"/>
                        <w:b/>
                        <w:sz w:val="34"/>
                        <w:u w:val="single"/>
                      </w:rPr>
                      <w:t>Guidelines for Characterizing NPDES Stormwater</w:t>
                    </w:r>
                    <w:r>
                      <w:rPr>
                        <w:rFonts w:ascii="Times New Roman"/>
                        <w:b/>
                        <w:spacing w:val="-9"/>
                        <w:sz w:val="34"/>
                        <w:u w:val="single"/>
                      </w:rPr>
                      <w:t xml:space="preserve"> </w:t>
                    </w:r>
                    <w:r>
                      <w:rPr>
                        <w:rFonts w:ascii="Times New Roman"/>
                        <w:b/>
                        <w:sz w:val="34"/>
                        <w:u w:val="single"/>
                      </w:rPr>
                      <w:t>Violations</w:t>
                    </w:r>
                    <w:r>
                      <w:rPr>
                        <w:rFonts w:ascii="Times New Roman"/>
                        <w:b/>
                        <w:sz w:val="34"/>
                        <w:u w:val="single"/>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80926"/>
    <w:multiLevelType w:val="hybridMultilevel"/>
    <w:tmpl w:val="37ECC072"/>
    <w:lvl w:ilvl="0" w:tplc="72D83F40">
      <w:numFmt w:val="bullet"/>
      <w:lvlText w:val=""/>
      <w:lvlJc w:val="left"/>
      <w:pPr>
        <w:ind w:left="782" w:hanging="361"/>
      </w:pPr>
      <w:rPr>
        <w:rFonts w:ascii="Symbol" w:eastAsia="Symbol" w:hAnsi="Symbol" w:cs="Symbol" w:hint="default"/>
        <w:w w:val="100"/>
        <w:sz w:val="22"/>
        <w:szCs w:val="22"/>
        <w:lang w:val="en-US" w:eastAsia="en-US" w:bidi="en-US"/>
      </w:rPr>
    </w:lvl>
    <w:lvl w:ilvl="1" w:tplc="F4E83278">
      <w:numFmt w:val="bullet"/>
      <w:lvlText w:val="•"/>
      <w:lvlJc w:val="left"/>
      <w:pPr>
        <w:ind w:left="1112" w:hanging="361"/>
      </w:pPr>
      <w:rPr>
        <w:rFonts w:hint="default"/>
        <w:lang w:val="en-US" w:eastAsia="en-US" w:bidi="en-US"/>
      </w:rPr>
    </w:lvl>
    <w:lvl w:ilvl="2" w:tplc="B5A64874">
      <w:numFmt w:val="bullet"/>
      <w:lvlText w:val="•"/>
      <w:lvlJc w:val="left"/>
      <w:pPr>
        <w:ind w:left="1444" w:hanging="361"/>
      </w:pPr>
      <w:rPr>
        <w:rFonts w:hint="default"/>
        <w:lang w:val="en-US" w:eastAsia="en-US" w:bidi="en-US"/>
      </w:rPr>
    </w:lvl>
    <w:lvl w:ilvl="3" w:tplc="09DEE0AE">
      <w:numFmt w:val="bullet"/>
      <w:lvlText w:val="•"/>
      <w:lvlJc w:val="left"/>
      <w:pPr>
        <w:ind w:left="1776" w:hanging="361"/>
      </w:pPr>
      <w:rPr>
        <w:rFonts w:hint="default"/>
        <w:lang w:val="en-US" w:eastAsia="en-US" w:bidi="en-US"/>
      </w:rPr>
    </w:lvl>
    <w:lvl w:ilvl="4" w:tplc="36A2539A">
      <w:numFmt w:val="bullet"/>
      <w:lvlText w:val="•"/>
      <w:lvlJc w:val="left"/>
      <w:pPr>
        <w:ind w:left="2108" w:hanging="361"/>
      </w:pPr>
      <w:rPr>
        <w:rFonts w:hint="default"/>
        <w:lang w:val="en-US" w:eastAsia="en-US" w:bidi="en-US"/>
      </w:rPr>
    </w:lvl>
    <w:lvl w:ilvl="5" w:tplc="D5801EAC">
      <w:numFmt w:val="bullet"/>
      <w:lvlText w:val="•"/>
      <w:lvlJc w:val="left"/>
      <w:pPr>
        <w:ind w:left="2440" w:hanging="361"/>
      </w:pPr>
      <w:rPr>
        <w:rFonts w:hint="default"/>
        <w:lang w:val="en-US" w:eastAsia="en-US" w:bidi="en-US"/>
      </w:rPr>
    </w:lvl>
    <w:lvl w:ilvl="6" w:tplc="003A1700">
      <w:numFmt w:val="bullet"/>
      <w:lvlText w:val="•"/>
      <w:lvlJc w:val="left"/>
      <w:pPr>
        <w:ind w:left="2772" w:hanging="361"/>
      </w:pPr>
      <w:rPr>
        <w:rFonts w:hint="default"/>
        <w:lang w:val="en-US" w:eastAsia="en-US" w:bidi="en-US"/>
      </w:rPr>
    </w:lvl>
    <w:lvl w:ilvl="7" w:tplc="B65C55A0">
      <w:numFmt w:val="bullet"/>
      <w:lvlText w:val="•"/>
      <w:lvlJc w:val="left"/>
      <w:pPr>
        <w:ind w:left="3104" w:hanging="361"/>
      </w:pPr>
      <w:rPr>
        <w:rFonts w:hint="default"/>
        <w:lang w:val="en-US" w:eastAsia="en-US" w:bidi="en-US"/>
      </w:rPr>
    </w:lvl>
    <w:lvl w:ilvl="8" w:tplc="71E850BA">
      <w:numFmt w:val="bullet"/>
      <w:lvlText w:val="•"/>
      <w:lvlJc w:val="left"/>
      <w:pPr>
        <w:ind w:left="3436" w:hanging="361"/>
      </w:pPr>
      <w:rPr>
        <w:rFonts w:hint="default"/>
        <w:lang w:val="en-US" w:eastAsia="en-US" w:bidi="en-US"/>
      </w:rPr>
    </w:lvl>
  </w:abstractNum>
  <w:abstractNum w:abstractNumId="1" w15:restartNumberingAfterBreak="0">
    <w:nsid w:val="145778EA"/>
    <w:multiLevelType w:val="hybridMultilevel"/>
    <w:tmpl w:val="09FC4FD2"/>
    <w:lvl w:ilvl="0" w:tplc="C1CA083A">
      <w:numFmt w:val="bullet"/>
      <w:lvlText w:val=""/>
      <w:lvlJc w:val="left"/>
      <w:pPr>
        <w:ind w:left="782" w:hanging="361"/>
      </w:pPr>
      <w:rPr>
        <w:rFonts w:ascii="Symbol" w:eastAsia="Symbol" w:hAnsi="Symbol" w:cs="Symbol" w:hint="default"/>
        <w:w w:val="100"/>
        <w:sz w:val="22"/>
        <w:szCs w:val="22"/>
        <w:lang w:val="en-US" w:eastAsia="en-US" w:bidi="en-US"/>
      </w:rPr>
    </w:lvl>
    <w:lvl w:ilvl="1" w:tplc="EF3A2BC4">
      <w:numFmt w:val="bullet"/>
      <w:lvlText w:val="•"/>
      <w:lvlJc w:val="left"/>
      <w:pPr>
        <w:ind w:left="1121" w:hanging="361"/>
      </w:pPr>
      <w:rPr>
        <w:rFonts w:hint="default"/>
        <w:lang w:val="en-US" w:eastAsia="en-US" w:bidi="en-US"/>
      </w:rPr>
    </w:lvl>
    <w:lvl w:ilvl="2" w:tplc="54CEF1EE">
      <w:numFmt w:val="bullet"/>
      <w:lvlText w:val="•"/>
      <w:lvlJc w:val="left"/>
      <w:pPr>
        <w:ind w:left="1462" w:hanging="361"/>
      </w:pPr>
      <w:rPr>
        <w:rFonts w:hint="default"/>
        <w:lang w:val="en-US" w:eastAsia="en-US" w:bidi="en-US"/>
      </w:rPr>
    </w:lvl>
    <w:lvl w:ilvl="3" w:tplc="CB2E2BD6">
      <w:numFmt w:val="bullet"/>
      <w:lvlText w:val="•"/>
      <w:lvlJc w:val="left"/>
      <w:pPr>
        <w:ind w:left="1803" w:hanging="361"/>
      </w:pPr>
      <w:rPr>
        <w:rFonts w:hint="default"/>
        <w:lang w:val="en-US" w:eastAsia="en-US" w:bidi="en-US"/>
      </w:rPr>
    </w:lvl>
    <w:lvl w:ilvl="4" w:tplc="19F2A14E">
      <w:numFmt w:val="bullet"/>
      <w:lvlText w:val="•"/>
      <w:lvlJc w:val="left"/>
      <w:pPr>
        <w:ind w:left="2144" w:hanging="361"/>
      </w:pPr>
      <w:rPr>
        <w:rFonts w:hint="default"/>
        <w:lang w:val="en-US" w:eastAsia="en-US" w:bidi="en-US"/>
      </w:rPr>
    </w:lvl>
    <w:lvl w:ilvl="5" w:tplc="B722106A">
      <w:numFmt w:val="bullet"/>
      <w:lvlText w:val="•"/>
      <w:lvlJc w:val="left"/>
      <w:pPr>
        <w:ind w:left="2486" w:hanging="361"/>
      </w:pPr>
      <w:rPr>
        <w:rFonts w:hint="default"/>
        <w:lang w:val="en-US" w:eastAsia="en-US" w:bidi="en-US"/>
      </w:rPr>
    </w:lvl>
    <w:lvl w:ilvl="6" w:tplc="26445BF4">
      <w:numFmt w:val="bullet"/>
      <w:lvlText w:val="•"/>
      <w:lvlJc w:val="left"/>
      <w:pPr>
        <w:ind w:left="2827" w:hanging="361"/>
      </w:pPr>
      <w:rPr>
        <w:rFonts w:hint="default"/>
        <w:lang w:val="en-US" w:eastAsia="en-US" w:bidi="en-US"/>
      </w:rPr>
    </w:lvl>
    <w:lvl w:ilvl="7" w:tplc="39A26410">
      <w:numFmt w:val="bullet"/>
      <w:lvlText w:val="•"/>
      <w:lvlJc w:val="left"/>
      <w:pPr>
        <w:ind w:left="3168" w:hanging="361"/>
      </w:pPr>
      <w:rPr>
        <w:rFonts w:hint="default"/>
        <w:lang w:val="en-US" w:eastAsia="en-US" w:bidi="en-US"/>
      </w:rPr>
    </w:lvl>
    <w:lvl w:ilvl="8" w:tplc="2C180272">
      <w:numFmt w:val="bullet"/>
      <w:lvlText w:val="•"/>
      <w:lvlJc w:val="left"/>
      <w:pPr>
        <w:ind w:left="3509" w:hanging="361"/>
      </w:pPr>
      <w:rPr>
        <w:rFonts w:hint="default"/>
        <w:lang w:val="en-US" w:eastAsia="en-US" w:bidi="en-US"/>
      </w:rPr>
    </w:lvl>
  </w:abstractNum>
  <w:abstractNum w:abstractNumId="2" w15:restartNumberingAfterBreak="0">
    <w:nsid w:val="1B7B0561"/>
    <w:multiLevelType w:val="hybridMultilevel"/>
    <w:tmpl w:val="F674688E"/>
    <w:lvl w:ilvl="0" w:tplc="8FC8947C">
      <w:numFmt w:val="bullet"/>
      <w:lvlText w:val=""/>
      <w:lvlJc w:val="left"/>
      <w:pPr>
        <w:ind w:left="782" w:hanging="361"/>
      </w:pPr>
      <w:rPr>
        <w:rFonts w:ascii="Symbol" w:eastAsia="Symbol" w:hAnsi="Symbol" w:cs="Symbol" w:hint="default"/>
        <w:w w:val="100"/>
        <w:sz w:val="22"/>
        <w:szCs w:val="22"/>
        <w:lang w:val="en-US" w:eastAsia="en-US" w:bidi="en-US"/>
      </w:rPr>
    </w:lvl>
    <w:lvl w:ilvl="1" w:tplc="C444D84E">
      <w:numFmt w:val="bullet"/>
      <w:lvlText w:val="•"/>
      <w:lvlJc w:val="left"/>
      <w:pPr>
        <w:ind w:left="1112" w:hanging="361"/>
      </w:pPr>
      <w:rPr>
        <w:rFonts w:hint="default"/>
        <w:lang w:val="en-US" w:eastAsia="en-US" w:bidi="en-US"/>
      </w:rPr>
    </w:lvl>
    <w:lvl w:ilvl="2" w:tplc="A6548110">
      <w:numFmt w:val="bullet"/>
      <w:lvlText w:val="•"/>
      <w:lvlJc w:val="left"/>
      <w:pPr>
        <w:ind w:left="1444" w:hanging="361"/>
      </w:pPr>
      <w:rPr>
        <w:rFonts w:hint="default"/>
        <w:lang w:val="en-US" w:eastAsia="en-US" w:bidi="en-US"/>
      </w:rPr>
    </w:lvl>
    <w:lvl w:ilvl="3" w:tplc="D4F0A96E">
      <w:numFmt w:val="bullet"/>
      <w:lvlText w:val="•"/>
      <w:lvlJc w:val="left"/>
      <w:pPr>
        <w:ind w:left="1776" w:hanging="361"/>
      </w:pPr>
      <w:rPr>
        <w:rFonts w:hint="default"/>
        <w:lang w:val="en-US" w:eastAsia="en-US" w:bidi="en-US"/>
      </w:rPr>
    </w:lvl>
    <w:lvl w:ilvl="4" w:tplc="669035E2">
      <w:numFmt w:val="bullet"/>
      <w:lvlText w:val="•"/>
      <w:lvlJc w:val="left"/>
      <w:pPr>
        <w:ind w:left="2108" w:hanging="361"/>
      </w:pPr>
      <w:rPr>
        <w:rFonts w:hint="default"/>
        <w:lang w:val="en-US" w:eastAsia="en-US" w:bidi="en-US"/>
      </w:rPr>
    </w:lvl>
    <w:lvl w:ilvl="5" w:tplc="ADF2B766">
      <w:numFmt w:val="bullet"/>
      <w:lvlText w:val="•"/>
      <w:lvlJc w:val="left"/>
      <w:pPr>
        <w:ind w:left="2440" w:hanging="361"/>
      </w:pPr>
      <w:rPr>
        <w:rFonts w:hint="default"/>
        <w:lang w:val="en-US" w:eastAsia="en-US" w:bidi="en-US"/>
      </w:rPr>
    </w:lvl>
    <w:lvl w:ilvl="6" w:tplc="3F1C97D2">
      <w:numFmt w:val="bullet"/>
      <w:lvlText w:val="•"/>
      <w:lvlJc w:val="left"/>
      <w:pPr>
        <w:ind w:left="2772" w:hanging="361"/>
      </w:pPr>
      <w:rPr>
        <w:rFonts w:hint="default"/>
        <w:lang w:val="en-US" w:eastAsia="en-US" w:bidi="en-US"/>
      </w:rPr>
    </w:lvl>
    <w:lvl w:ilvl="7" w:tplc="E02A4996">
      <w:numFmt w:val="bullet"/>
      <w:lvlText w:val="•"/>
      <w:lvlJc w:val="left"/>
      <w:pPr>
        <w:ind w:left="3104" w:hanging="361"/>
      </w:pPr>
      <w:rPr>
        <w:rFonts w:hint="default"/>
        <w:lang w:val="en-US" w:eastAsia="en-US" w:bidi="en-US"/>
      </w:rPr>
    </w:lvl>
    <w:lvl w:ilvl="8" w:tplc="968016BE">
      <w:numFmt w:val="bullet"/>
      <w:lvlText w:val="•"/>
      <w:lvlJc w:val="left"/>
      <w:pPr>
        <w:ind w:left="3436" w:hanging="361"/>
      </w:pPr>
      <w:rPr>
        <w:rFonts w:hint="default"/>
        <w:lang w:val="en-US" w:eastAsia="en-US" w:bidi="en-US"/>
      </w:rPr>
    </w:lvl>
  </w:abstractNum>
  <w:abstractNum w:abstractNumId="3" w15:restartNumberingAfterBreak="0">
    <w:nsid w:val="1C83076F"/>
    <w:multiLevelType w:val="hybridMultilevel"/>
    <w:tmpl w:val="D9760350"/>
    <w:lvl w:ilvl="0" w:tplc="83A86782">
      <w:numFmt w:val="bullet"/>
      <w:lvlText w:val=""/>
      <w:lvlJc w:val="left"/>
      <w:pPr>
        <w:ind w:left="539" w:hanging="361"/>
      </w:pPr>
      <w:rPr>
        <w:rFonts w:ascii="Symbol" w:eastAsia="Symbol" w:hAnsi="Symbol" w:cs="Symbol" w:hint="default"/>
        <w:w w:val="100"/>
        <w:sz w:val="22"/>
        <w:szCs w:val="22"/>
        <w:lang w:val="en-US" w:eastAsia="en-US" w:bidi="en-US"/>
      </w:rPr>
    </w:lvl>
    <w:lvl w:ilvl="1" w:tplc="59EAF924">
      <w:numFmt w:val="bullet"/>
      <w:lvlText w:val="•"/>
      <w:lvlJc w:val="left"/>
      <w:pPr>
        <w:ind w:left="873" w:hanging="361"/>
      </w:pPr>
      <w:rPr>
        <w:rFonts w:hint="default"/>
        <w:lang w:val="en-US" w:eastAsia="en-US" w:bidi="en-US"/>
      </w:rPr>
    </w:lvl>
    <w:lvl w:ilvl="2" w:tplc="7994AC74">
      <w:numFmt w:val="bullet"/>
      <w:lvlText w:val="•"/>
      <w:lvlJc w:val="left"/>
      <w:pPr>
        <w:ind w:left="1206" w:hanging="361"/>
      </w:pPr>
      <w:rPr>
        <w:rFonts w:hint="default"/>
        <w:lang w:val="en-US" w:eastAsia="en-US" w:bidi="en-US"/>
      </w:rPr>
    </w:lvl>
    <w:lvl w:ilvl="3" w:tplc="5D866398">
      <w:numFmt w:val="bullet"/>
      <w:lvlText w:val="•"/>
      <w:lvlJc w:val="left"/>
      <w:pPr>
        <w:ind w:left="1539" w:hanging="361"/>
      </w:pPr>
      <w:rPr>
        <w:rFonts w:hint="default"/>
        <w:lang w:val="en-US" w:eastAsia="en-US" w:bidi="en-US"/>
      </w:rPr>
    </w:lvl>
    <w:lvl w:ilvl="4" w:tplc="4930477C">
      <w:numFmt w:val="bullet"/>
      <w:lvlText w:val="•"/>
      <w:lvlJc w:val="left"/>
      <w:pPr>
        <w:ind w:left="1872" w:hanging="361"/>
      </w:pPr>
      <w:rPr>
        <w:rFonts w:hint="default"/>
        <w:lang w:val="en-US" w:eastAsia="en-US" w:bidi="en-US"/>
      </w:rPr>
    </w:lvl>
    <w:lvl w:ilvl="5" w:tplc="DF64B44A">
      <w:numFmt w:val="bullet"/>
      <w:lvlText w:val="•"/>
      <w:lvlJc w:val="left"/>
      <w:pPr>
        <w:ind w:left="2205" w:hanging="361"/>
      </w:pPr>
      <w:rPr>
        <w:rFonts w:hint="default"/>
        <w:lang w:val="en-US" w:eastAsia="en-US" w:bidi="en-US"/>
      </w:rPr>
    </w:lvl>
    <w:lvl w:ilvl="6" w:tplc="0B5AE13A">
      <w:numFmt w:val="bullet"/>
      <w:lvlText w:val="•"/>
      <w:lvlJc w:val="left"/>
      <w:pPr>
        <w:ind w:left="2538" w:hanging="361"/>
      </w:pPr>
      <w:rPr>
        <w:rFonts w:hint="default"/>
        <w:lang w:val="en-US" w:eastAsia="en-US" w:bidi="en-US"/>
      </w:rPr>
    </w:lvl>
    <w:lvl w:ilvl="7" w:tplc="00D8D880">
      <w:numFmt w:val="bullet"/>
      <w:lvlText w:val="•"/>
      <w:lvlJc w:val="left"/>
      <w:pPr>
        <w:ind w:left="2871" w:hanging="361"/>
      </w:pPr>
      <w:rPr>
        <w:rFonts w:hint="default"/>
        <w:lang w:val="en-US" w:eastAsia="en-US" w:bidi="en-US"/>
      </w:rPr>
    </w:lvl>
    <w:lvl w:ilvl="8" w:tplc="42865B16">
      <w:numFmt w:val="bullet"/>
      <w:lvlText w:val="•"/>
      <w:lvlJc w:val="left"/>
      <w:pPr>
        <w:ind w:left="3204" w:hanging="361"/>
      </w:pPr>
      <w:rPr>
        <w:rFonts w:hint="default"/>
        <w:lang w:val="en-US" w:eastAsia="en-US" w:bidi="en-US"/>
      </w:rPr>
    </w:lvl>
  </w:abstractNum>
  <w:abstractNum w:abstractNumId="4" w15:restartNumberingAfterBreak="0">
    <w:nsid w:val="293344C6"/>
    <w:multiLevelType w:val="hybridMultilevel"/>
    <w:tmpl w:val="3B34AB94"/>
    <w:lvl w:ilvl="0" w:tplc="E4BEEC34">
      <w:numFmt w:val="bullet"/>
      <w:lvlText w:val=""/>
      <w:lvlJc w:val="left"/>
      <w:pPr>
        <w:ind w:left="782" w:hanging="361"/>
      </w:pPr>
      <w:rPr>
        <w:rFonts w:ascii="Symbol" w:eastAsia="Symbol" w:hAnsi="Symbol" w:cs="Symbol" w:hint="default"/>
        <w:w w:val="100"/>
        <w:sz w:val="22"/>
        <w:szCs w:val="22"/>
        <w:lang w:val="en-US" w:eastAsia="en-US" w:bidi="en-US"/>
      </w:rPr>
    </w:lvl>
    <w:lvl w:ilvl="1" w:tplc="1B54D384">
      <w:numFmt w:val="bullet"/>
      <w:lvlText w:val="•"/>
      <w:lvlJc w:val="left"/>
      <w:pPr>
        <w:ind w:left="1121" w:hanging="361"/>
      </w:pPr>
      <w:rPr>
        <w:rFonts w:hint="default"/>
        <w:lang w:val="en-US" w:eastAsia="en-US" w:bidi="en-US"/>
      </w:rPr>
    </w:lvl>
    <w:lvl w:ilvl="2" w:tplc="EEDE3A14">
      <w:numFmt w:val="bullet"/>
      <w:lvlText w:val="•"/>
      <w:lvlJc w:val="left"/>
      <w:pPr>
        <w:ind w:left="1462" w:hanging="361"/>
      </w:pPr>
      <w:rPr>
        <w:rFonts w:hint="default"/>
        <w:lang w:val="en-US" w:eastAsia="en-US" w:bidi="en-US"/>
      </w:rPr>
    </w:lvl>
    <w:lvl w:ilvl="3" w:tplc="8B387142">
      <w:numFmt w:val="bullet"/>
      <w:lvlText w:val="•"/>
      <w:lvlJc w:val="left"/>
      <w:pPr>
        <w:ind w:left="1803" w:hanging="361"/>
      </w:pPr>
      <w:rPr>
        <w:rFonts w:hint="default"/>
        <w:lang w:val="en-US" w:eastAsia="en-US" w:bidi="en-US"/>
      </w:rPr>
    </w:lvl>
    <w:lvl w:ilvl="4" w:tplc="7CDA301C">
      <w:numFmt w:val="bullet"/>
      <w:lvlText w:val="•"/>
      <w:lvlJc w:val="left"/>
      <w:pPr>
        <w:ind w:left="2144" w:hanging="361"/>
      </w:pPr>
      <w:rPr>
        <w:rFonts w:hint="default"/>
        <w:lang w:val="en-US" w:eastAsia="en-US" w:bidi="en-US"/>
      </w:rPr>
    </w:lvl>
    <w:lvl w:ilvl="5" w:tplc="1DE073C6">
      <w:numFmt w:val="bullet"/>
      <w:lvlText w:val="•"/>
      <w:lvlJc w:val="left"/>
      <w:pPr>
        <w:ind w:left="2486" w:hanging="361"/>
      </w:pPr>
      <w:rPr>
        <w:rFonts w:hint="default"/>
        <w:lang w:val="en-US" w:eastAsia="en-US" w:bidi="en-US"/>
      </w:rPr>
    </w:lvl>
    <w:lvl w:ilvl="6" w:tplc="034A837A">
      <w:numFmt w:val="bullet"/>
      <w:lvlText w:val="•"/>
      <w:lvlJc w:val="left"/>
      <w:pPr>
        <w:ind w:left="2827" w:hanging="361"/>
      </w:pPr>
      <w:rPr>
        <w:rFonts w:hint="default"/>
        <w:lang w:val="en-US" w:eastAsia="en-US" w:bidi="en-US"/>
      </w:rPr>
    </w:lvl>
    <w:lvl w:ilvl="7" w:tplc="86FE501E">
      <w:numFmt w:val="bullet"/>
      <w:lvlText w:val="•"/>
      <w:lvlJc w:val="left"/>
      <w:pPr>
        <w:ind w:left="3168" w:hanging="361"/>
      </w:pPr>
      <w:rPr>
        <w:rFonts w:hint="default"/>
        <w:lang w:val="en-US" w:eastAsia="en-US" w:bidi="en-US"/>
      </w:rPr>
    </w:lvl>
    <w:lvl w:ilvl="8" w:tplc="EF2E64CA">
      <w:numFmt w:val="bullet"/>
      <w:lvlText w:val="•"/>
      <w:lvlJc w:val="left"/>
      <w:pPr>
        <w:ind w:left="3509" w:hanging="361"/>
      </w:pPr>
      <w:rPr>
        <w:rFonts w:hint="default"/>
        <w:lang w:val="en-US" w:eastAsia="en-US" w:bidi="en-US"/>
      </w:rPr>
    </w:lvl>
  </w:abstractNum>
  <w:abstractNum w:abstractNumId="5" w15:restartNumberingAfterBreak="0">
    <w:nsid w:val="3ECA7947"/>
    <w:multiLevelType w:val="hybridMultilevel"/>
    <w:tmpl w:val="B3B0E60C"/>
    <w:lvl w:ilvl="0" w:tplc="F904D14A">
      <w:numFmt w:val="bullet"/>
      <w:lvlText w:val=""/>
      <w:lvlJc w:val="left"/>
      <w:pPr>
        <w:ind w:left="540" w:hanging="361"/>
      </w:pPr>
      <w:rPr>
        <w:rFonts w:ascii="Symbol" w:eastAsia="Symbol" w:hAnsi="Symbol" w:cs="Symbol" w:hint="default"/>
        <w:w w:val="100"/>
        <w:sz w:val="22"/>
        <w:szCs w:val="22"/>
        <w:lang w:val="en-US" w:eastAsia="en-US" w:bidi="en-US"/>
      </w:rPr>
    </w:lvl>
    <w:lvl w:ilvl="1" w:tplc="8C9E199C">
      <w:numFmt w:val="bullet"/>
      <w:lvlText w:val="•"/>
      <w:lvlJc w:val="left"/>
      <w:pPr>
        <w:ind w:left="873" w:hanging="361"/>
      </w:pPr>
      <w:rPr>
        <w:rFonts w:hint="default"/>
        <w:lang w:val="en-US" w:eastAsia="en-US" w:bidi="en-US"/>
      </w:rPr>
    </w:lvl>
    <w:lvl w:ilvl="2" w:tplc="E4065744">
      <w:numFmt w:val="bullet"/>
      <w:lvlText w:val="•"/>
      <w:lvlJc w:val="left"/>
      <w:pPr>
        <w:ind w:left="1206" w:hanging="361"/>
      </w:pPr>
      <w:rPr>
        <w:rFonts w:hint="default"/>
        <w:lang w:val="en-US" w:eastAsia="en-US" w:bidi="en-US"/>
      </w:rPr>
    </w:lvl>
    <w:lvl w:ilvl="3" w:tplc="454E160E">
      <w:numFmt w:val="bullet"/>
      <w:lvlText w:val="•"/>
      <w:lvlJc w:val="left"/>
      <w:pPr>
        <w:ind w:left="1539" w:hanging="361"/>
      </w:pPr>
      <w:rPr>
        <w:rFonts w:hint="default"/>
        <w:lang w:val="en-US" w:eastAsia="en-US" w:bidi="en-US"/>
      </w:rPr>
    </w:lvl>
    <w:lvl w:ilvl="4" w:tplc="8C703232">
      <w:numFmt w:val="bullet"/>
      <w:lvlText w:val="•"/>
      <w:lvlJc w:val="left"/>
      <w:pPr>
        <w:ind w:left="1872" w:hanging="361"/>
      </w:pPr>
      <w:rPr>
        <w:rFonts w:hint="default"/>
        <w:lang w:val="en-US" w:eastAsia="en-US" w:bidi="en-US"/>
      </w:rPr>
    </w:lvl>
    <w:lvl w:ilvl="5" w:tplc="F08E2B90">
      <w:numFmt w:val="bullet"/>
      <w:lvlText w:val="•"/>
      <w:lvlJc w:val="left"/>
      <w:pPr>
        <w:ind w:left="2205" w:hanging="361"/>
      </w:pPr>
      <w:rPr>
        <w:rFonts w:hint="default"/>
        <w:lang w:val="en-US" w:eastAsia="en-US" w:bidi="en-US"/>
      </w:rPr>
    </w:lvl>
    <w:lvl w:ilvl="6" w:tplc="7AC41638">
      <w:numFmt w:val="bullet"/>
      <w:lvlText w:val="•"/>
      <w:lvlJc w:val="left"/>
      <w:pPr>
        <w:ind w:left="2538" w:hanging="361"/>
      </w:pPr>
      <w:rPr>
        <w:rFonts w:hint="default"/>
        <w:lang w:val="en-US" w:eastAsia="en-US" w:bidi="en-US"/>
      </w:rPr>
    </w:lvl>
    <w:lvl w:ilvl="7" w:tplc="C826E170">
      <w:numFmt w:val="bullet"/>
      <w:lvlText w:val="•"/>
      <w:lvlJc w:val="left"/>
      <w:pPr>
        <w:ind w:left="2871" w:hanging="361"/>
      </w:pPr>
      <w:rPr>
        <w:rFonts w:hint="default"/>
        <w:lang w:val="en-US" w:eastAsia="en-US" w:bidi="en-US"/>
      </w:rPr>
    </w:lvl>
    <w:lvl w:ilvl="8" w:tplc="1048D7EC">
      <w:numFmt w:val="bullet"/>
      <w:lvlText w:val="•"/>
      <w:lvlJc w:val="left"/>
      <w:pPr>
        <w:ind w:left="3204" w:hanging="361"/>
      </w:pPr>
      <w:rPr>
        <w:rFonts w:hint="default"/>
        <w:lang w:val="en-US" w:eastAsia="en-US" w:bidi="en-US"/>
      </w:rPr>
    </w:lvl>
  </w:abstractNum>
  <w:abstractNum w:abstractNumId="6" w15:restartNumberingAfterBreak="0">
    <w:nsid w:val="56B806BF"/>
    <w:multiLevelType w:val="hybridMultilevel"/>
    <w:tmpl w:val="FA121FDA"/>
    <w:lvl w:ilvl="0" w:tplc="43F6914C">
      <w:numFmt w:val="bullet"/>
      <w:lvlText w:val=""/>
      <w:lvlJc w:val="left"/>
      <w:pPr>
        <w:ind w:left="782" w:hanging="361"/>
      </w:pPr>
      <w:rPr>
        <w:rFonts w:ascii="Symbol" w:eastAsia="Symbol" w:hAnsi="Symbol" w:cs="Symbol" w:hint="default"/>
        <w:w w:val="100"/>
        <w:sz w:val="22"/>
        <w:szCs w:val="22"/>
        <w:lang w:val="en-US" w:eastAsia="en-US" w:bidi="en-US"/>
      </w:rPr>
    </w:lvl>
    <w:lvl w:ilvl="1" w:tplc="A8EE285C">
      <w:numFmt w:val="bullet"/>
      <w:lvlText w:val="•"/>
      <w:lvlJc w:val="left"/>
      <w:pPr>
        <w:ind w:left="1121" w:hanging="361"/>
      </w:pPr>
      <w:rPr>
        <w:rFonts w:hint="default"/>
        <w:lang w:val="en-US" w:eastAsia="en-US" w:bidi="en-US"/>
      </w:rPr>
    </w:lvl>
    <w:lvl w:ilvl="2" w:tplc="BE56814E">
      <w:numFmt w:val="bullet"/>
      <w:lvlText w:val="•"/>
      <w:lvlJc w:val="left"/>
      <w:pPr>
        <w:ind w:left="1462" w:hanging="361"/>
      </w:pPr>
      <w:rPr>
        <w:rFonts w:hint="default"/>
        <w:lang w:val="en-US" w:eastAsia="en-US" w:bidi="en-US"/>
      </w:rPr>
    </w:lvl>
    <w:lvl w:ilvl="3" w:tplc="292A7540">
      <w:numFmt w:val="bullet"/>
      <w:lvlText w:val="•"/>
      <w:lvlJc w:val="left"/>
      <w:pPr>
        <w:ind w:left="1803" w:hanging="361"/>
      </w:pPr>
      <w:rPr>
        <w:rFonts w:hint="default"/>
        <w:lang w:val="en-US" w:eastAsia="en-US" w:bidi="en-US"/>
      </w:rPr>
    </w:lvl>
    <w:lvl w:ilvl="4" w:tplc="B55C2DBA">
      <w:numFmt w:val="bullet"/>
      <w:lvlText w:val="•"/>
      <w:lvlJc w:val="left"/>
      <w:pPr>
        <w:ind w:left="2144" w:hanging="361"/>
      </w:pPr>
      <w:rPr>
        <w:rFonts w:hint="default"/>
        <w:lang w:val="en-US" w:eastAsia="en-US" w:bidi="en-US"/>
      </w:rPr>
    </w:lvl>
    <w:lvl w:ilvl="5" w:tplc="B45466F4">
      <w:numFmt w:val="bullet"/>
      <w:lvlText w:val="•"/>
      <w:lvlJc w:val="left"/>
      <w:pPr>
        <w:ind w:left="2486" w:hanging="361"/>
      </w:pPr>
      <w:rPr>
        <w:rFonts w:hint="default"/>
        <w:lang w:val="en-US" w:eastAsia="en-US" w:bidi="en-US"/>
      </w:rPr>
    </w:lvl>
    <w:lvl w:ilvl="6" w:tplc="2E3637B6">
      <w:numFmt w:val="bullet"/>
      <w:lvlText w:val="•"/>
      <w:lvlJc w:val="left"/>
      <w:pPr>
        <w:ind w:left="2827" w:hanging="361"/>
      </w:pPr>
      <w:rPr>
        <w:rFonts w:hint="default"/>
        <w:lang w:val="en-US" w:eastAsia="en-US" w:bidi="en-US"/>
      </w:rPr>
    </w:lvl>
    <w:lvl w:ilvl="7" w:tplc="B8087CEC">
      <w:numFmt w:val="bullet"/>
      <w:lvlText w:val="•"/>
      <w:lvlJc w:val="left"/>
      <w:pPr>
        <w:ind w:left="3168" w:hanging="361"/>
      </w:pPr>
      <w:rPr>
        <w:rFonts w:hint="default"/>
        <w:lang w:val="en-US" w:eastAsia="en-US" w:bidi="en-US"/>
      </w:rPr>
    </w:lvl>
    <w:lvl w:ilvl="8" w:tplc="D24C65B6">
      <w:numFmt w:val="bullet"/>
      <w:lvlText w:val="•"/>
      <w:lvlJc w:val="left"/>
      <w:pPr>
        <w:ind w:left="3509" w:hanging="361"/>
      </w:pPr>
      <w:rPr>
        <w:rFonts w:hint="default"/>
        <w:lang w:val="en-US" w:eastAsia="en-US" w:bidi="en-US"/>
      </w:rPr>
    </w:lvl>
  </w:abstractNum>
  <w:abstractNum w:abstractNumId="7" w15:restartNumberingAfterBreak="0">
    <w:nsid w:val="67975DB7"/>
    <w:multiLevelType w:val="hybridMultilevel"/>
    <w:tmpl w:val="16B2EC5E"/>
    <w:lvl w:ilvl="0" w:tplc="9198E750">
      <w:numFmt w:val="bullet"/>
      <w:lvlText w:val=""/>
      <w:lvlJc w:val="left"/>
      <w:pPr>
        <w:ind w:left="782" w:hanging="361"/>
      </w:pPr>
      <w:rPr>
        <w:rFonts w:ascii="Symbol" w:eastAsia="Symbol" w:hAnsi="Symbol" w:cs="Symbol" w:hint="default"/>
        <w:w w:val="100"/>
        <w:sz w:val="22"/>
        <w:szCs w:val="22"/>
        <w:lang w:val="en-US" w:eastAsia="en-US" w:bidi="en-US"/>
      </w:rPr>
    </w:lvl>
    <w:lvl w:ilvl="1" w:tplc="A3E86B98">
      <w:numFmt w:val="bullet"/>
      <w:lvlText w:val="•"/>
      <w:lvlJc w:val="left"/>
      <w:pPr>
        <w:ind w:left="1112" w:hanging="361"/>
      </w:pPr>
      <w:rPr>
        <w:rFonts w:hint="default"/>
        <w:lang w:val="en-US" w:eastAsia="en-US" w:bidi="en-US"/>
      </w:rPr>
    </w:lvl>
    <w:lvl w:ilvl="2" w:tplc="0B82E2F8">
      <w:numFmt w:val="bullet"/>
      <w:lvlText w:val="•"/>
      <w:lvlJc w:val="left"/>
      <w:pPr>
        <w:ind w:left="1444" w:hanging="361"/>
      </w:pPr>
      <w:rPr>
        <w:rFonts w:hint="default"/>
        <w:lang w:val="en-US" w:eastAsia="en-US" w:bidi="en-US"/>
      </w:rPr>
    </w:lvl>
    <w:lvl w:ilvl="3" w:tplc="F3EE855C">
      <w:numFmt w:val="bullet"/>
      <w:lvlText w:val="•"/>
      <w:lvlJc w:val="left"/>
      <w:pPr>
        <w:ind w:left="1776" w:hanging="361"/>
      </w:pPr>
      <w:rPr>
        <w:rFonts w:hint="default"/>
        <w:lang w:val="en-US" w:eastAsia="en-US" w:bidi="en-US"/>
      </w:rPr>
    </w:lvl>
    <w:lvl w:ilvl="4" w:tplc="970295A8">
      <w:numFmt w:val="bullet"/>
      <w:lvlText w:val="•"/>
      <w:lvlJc w:val="left"/>
      <w:pPr>
        <w:ind w:left="2108" w:hanging="361"/>
      </w:pPr>
      <w:rPr>
        <w:rFonts w:hint="default"/>
        <w:lang w:val="en-US" w:eastAsia="en-US" w:bidi="en-US"/>
      </w:rPr>
    </w:lvl>
    <w:lvl w:ilvl="5" w:tplc="CB42333E">
      <w:numFmt w:val="bullet"/>
      <w:lvlText w:val="•"/>
      <w:lvlJc w:val="left"/>
      <w:pPr>
        <w:ind w:left="2440" w:hanging="361"/>
      </w:pPr>
      <w:rPr>
        <w:rFonts w:hint="default"/>
        <w:lang w:val="en-US" w:eastAsia="en-US" w:bidi="en-US"/>
      </w:rPr>
    </w:lvl>
    <w:lvl w:ilvl="6" w:tplc="24403830">
      <w:numFmt w:val="bullet"/>
      <w:lvlText w:val="•"/>
      <w:lvlJc w:val="left"/>
      <w:pPr>
        <w:ind w:left="2772" w:hanging="361"/>
      </w:pPr>
      <w:rPr>
        <w:rFonts w:hint="default"/>
        <w:lang w:val="en-US" w:eastAsia="en-US" w:bidi="en-US"/>
      </w:rPr>
    </w:lvl>
    <w:lvl w:ilvl="7" w:tplc="EE86467C">
      <w:numFmt w:val="bullet"/>
      <w:lvlText w:val="•"/>
      <w:lvlJc w:val="left"/>
      <w:pPr>
        <w:ind w:left="3104" w:hanging="361"/>
      </w:pPr>
      <w:rPr>
        <w:rFonts w:hint="default"/>
        <w:lang w:val="en-US" w:eastAsia="en-US" w:bidi="en-US"/>
      </w:rPr>
    </w:lvl>
    <w:lvl w:ilvl="8" w:tplc="96AE235E">
      <w:numFmt w:val="bullet"/>
      <w:lvlText w:val="•"/>
      <w:lvlJc w:val="left"/>
      <w:pPr>
        <w:ind w:left="3436" w:hanging="361"/>
      </w:pPr>
      <w:rPr>
        <w:rFonts w:hint="default"/>
        <w:lang w:val="en-US" w:eastAsia="en-US" w:bidi="en-US"/>
      </w:rPr>
    </w:lvl>
  </w:abstractNum>
  <w:abstractNum w:abstractNumId="8" w15:restartNumberingAfterBreak="0">
    <w:nsid w:val="6CD73F9D"/>
    <w:multiLevelType w:val="hybridMultilevel"/>
    <w:tmpl w:val="4A3EAB7E"/>
    <w:lvl w:ilvl="0" w:tplc="9D5E9474">
      <w:numFmt w:val="bullet"/>
      <w:lvlText w:val=""/>
      <w:lvlJc w:val="left"/>
      <w:pPr>
        <w:ind w:left="940" w:hanging="361"/>
      </w:pPr>
      <w:rPr>
        <w:rFonts w:ascii="Symbol" w:eastAsia="Symbol" w:hAnsi="Symbol" w:cs="Symbol" w:hint="default"/>
        <w:w w:val="100"/>
        <w:sz w:val="22"/>
        <w:szCs w:val="22"/>
        <w:lang w:val="en-US" w:eastAsia="en-US" w:bidi="en-US"/>
      </w:rPr>
    </w:lvl>
    <w:lvl w:ilvl="1" w:tplc="9E18A462">
      <w:numFmt w:val="bullet"/>
      <w:lvlText w:val="•"/>
      <w:lvlJc w:val="left"/>
      <w:pPr>
        <w:ind w:left="1828" w:hanging="361"/>
      </w:pPr>
      <w:rPr>
        <w:rFonts w:hint="default"/>
        <w:lang w:val="en-US" w:eastAsia="en-US" w:bidi="en-US"/>
      </w:rPr>
    </w:lvl>
    <w:lvl w:ilvl="2" w:tplc="E810470A">
      <w:numFmt w:val="bullet"/>
      <w:lvlText w:val="•"/>
      <w:lvlJc w:val="left"/>
      <w:pPr>
        <w:ind w:left="2716" w:hanging="361"/>
      </w:pPr>
      <w:rPr>
        <w:rFonts w:hint="default"/>
        <w:lang w:val="en-US" w:eastAsia="en-US" w:bidi="en-US"/>
      </w:rPr>
    </w:lvl>
    <w:lvl w:ilvl="3" w:tplc="A5067FDA">
      <w:numFmt w:val="bullet"/>
      <w:lvlText w:val="•"/>
      <w:lvlJc w:val="left"/>
      <w:pPr>
        <w:ind w:left="3604" w:hanging="361"/>
      </w:pPr>
      <w:rPr>
        <w:rFonts w:hint="default"/>
        <w:lang w:val="en-US" w:eastAsia="en-US" w:bidi="en-US"/>
      </w:rPr>
    </w:lvl>
    <w:lvl w:ilvl="4" w:tplc="40B02EE0">
      <w:numFmt w:val="bullet"/>
      <w:lvlText w:val="•"/>
      <w:lvlJc w:val="left"/>
      <w:pPr>
        <w:ind w:left="4492" w:hanging="361"/>
      </w:pPr>
      <w:rPr>
        <w:rFonts w:hint="default"/>
        <w:lang w:val="en-US" w:eastAsia="en-US" w:bidi="en-US"/>
      </w:rPr>
    </w:lvl>
    <w:lvl w:ilvl="5" w:tplc="9DBE027C">
      <w:numFmt w:val="bullet"/>
      <w:lvlText w:val="•"/>
      <w:lvlJc w:val="left"/>
      <w:pPr>
        <w:ind w:left="5380" w:hanging="361"/>
      </w:pPr>
      <w:rPr>
        <w:rFonts w:hint="default"/>
        <w:lang w:val="en-US" w:eastAsia="en-US" w:bidi="en-US"/>
      </w:rPr>
    </w:lvl>
    <w:lvl w:ilvl="6" w:tplc="8B3E2BEA">
      <w:numFmt w:val="bullet"/>
      <w:lvlText w:val="•"/>
      <w:lvlJc w:val="left"/>
      <w:pPr>
        <w:ind w:left="6268" w:hanging="361"/>
      </w:pPr>
      <w:rPr>
        <w:rFonts w:hint="default"/>
        <w:lang w:val="en-US" w:eastAsia="en-US" w:bidi="en-US"/>
      </w:rPr>
    </w:lvl>
    <w:lvl w:ilvl="7" w:tplc="13620DA8">
      <w:numFmt w:val="bullet"/>
      <w:lvlText w:val="•"/>
      <w:lvlJc w:val="left"/>
      <w:pPr>
        <w:ind w:left="7156" w:hanging="361"/>
      </w:pPr>
      <w:rPr>
        <w:rFonts w:hint="default"/>
        <w:lang w:val="en-US" w:eastAsia="en-US" w:bidi="en-US"/>
      </w:rPr>
    </w:lvl>
    <w:lvl w:ilvl="8" w:tplc="5FEEBCC0">
      <w:numFmt w:val="bullet"/>
      <w:lvlText w:val="•"/>
      <w:lvlJc w:val="left"/>
      <w:pPr>
        <w:ind w:left="8044" w:hanging="361"/>
      </w:pPr>
      <w:rPr>
        <w:rFonts w:hint="default"/>
        <w:lang w:val="en-US" w:eastAsia="en-US" w:bidi="en-US"/>
      </w:rPr>
    </w:lvl>
  </w:abstractNum>
  <w:abstractNum w:abstractNumId="9" w15:restartNumberingAfterBreak="0">
    <w:nsid w:val="7C701F10"/>
    <w:multiLevelType w:val="hybridMultilevel"/>
    <w:tmpl w:val="C8E0CCA0"/>
    <w:lvl w:ilvl="0" w:tplc="BAE0DC64">
      <w:numFmt w:val="bullet"/>
      <w:lvlText w:val=""/>
      <w:lvlJc w:val="left"/>
      <w:pPr>
        <w:ind w:left="940" w:hanging="361"/>
      </w:pPr>
      <w:rPr>
        <w:rFonts w:ascii="Symbol" w:eastAsia="Symbol" w:hAnsi="Symbol" w:cs="Symbol" w:hint="default"/>
        <w:w w:val="100"/>
        <w:sz w:val="22"/>
        <w:szCs w:val="22"/>
        <w:lang w:val="en-US" w:eastAsia="en-US" w:bidi="en-US"/>
      </w:rPr>
    </w:lvl>
    <w:lvl w:ilvl="1" w:tplc="765C045E">
      <w:numFmt w:val="bullet"/>
      <w:lvlText w:val="•"/>
      <w:lvlJc w:val="left"/>
      <w:pPr>
        <w:ind w:left="1828" w:hanging="361"/>
      </w:pPr>
      <w:rPr>
        <w:rFonts w:hint="default"/>
        <w:lang w:val="en-US" w:eastAsia="en-US" w:bidi="en-US"/>
      </w:rPr>
    </w:lvl>
    <w:lvl w:ilvl="2" w:tplc="CCAC99D2">
      <w:numFmt w:val="bullet"/>
      <w:lvlText w:val="•"/>
      <w:lvlJc w:val="left"/>
      <w:pPr>
        <w:ind w:left="2716" w:hanging="361"/>
      </w:pPr>
      <w:rPr>
        <w:rFonts w:hint="default"/>
        <w:lang w:val="en-US" w:eastAsia="en-US" w:bidi="en-US"/>
      </w:rPr>
    </w:lvl>
    <w:lvl w:ilvl="3" w:tplc="8FF41EB0">
      <w:numFmt w:val="bullet"/>
      <w:lvlText w:val="•"/>
      <w:lvlJc w:val="left"/>
      <w:pPr>
        <w:ind w:left="3604" w:hanging="361"/>
      </w:pPr>
      <w:rPr>
        <w:rFonts w:hint="default"/>
        <w:lang w:val="en-US" w:eastAsia="en-US" w:bidi="en-US"/>
      </w:rPr>
    </w:lvl>
    <w:lvl w:ilvl="4" w:tplc="A922311A">
      <w:numFmt w:val="bullet"/>
      <w:lvlText w:val="•"/>
      <w:lvlJc w:val="left"/>
      <w:pPr>
        <w:ind w:left="4492" w:hanging="361"/>
      </w:pPr>
      <w:rPr>
        <w:rFonts w:hint="default"/>
        <w:lang w:val="en-US" w:eastAsia="en-US" w:bidi="en-US"/>
      </w:rPr>
    </w:lvl>
    <w:lvl w:ilvl="5" w:tplc="3C447986">
      <w:numFmt w:val="bullet"/>
      <w:lvlText w:val="•"/>
      <w:lvlJc w:val="left"/>
      <w:pPr>
        <w:ind w:left="5380" w:hanging="361"/>
      </w:pPr>
      <w:rPr>
        <w:rFonts w:hint="default"/>
        <w:lang w:val="en-US" w:eastAsia="en-US" w:bidi="en-US"/>
      </w:rPr>
    </w:lvl>
    <w:lvl w:ilvl="6" w:tplc="79CAA7F8">
      <w:numFmt w:val="bullet"/>
      <w:lvlText w:val="•"/>
      <w:lvlJc w:val="left"/>
      <w:pPr>
        <w:ind w:left="6268" w:hanging="361"/>
      </w:pPr>
      <w:rPr>
        <w:rFonts w:hint="default"/>
        <w:lang w:val="en-US" w:eastAsia="en-US" w:bidi="en-US"/>
      </w:rPr>
    </w:lvl>
    <w:lvl w:ilvl="7" w:tplc="5F8A9318">
      <w:numFmt w:val="bullet"/>
      <w:lvlText w:val="•"/>
      <w:lvlJc w:val="left"/>
      <w:pPr>
        <w:ind w:left="7156" w:hanging="361"/>
      </w:pPr>
      <w:rPr>
        <w:rFonts w:hint="default"/>
        <w:lang w:val="en-US" w:eastAsia="en-US" w:bidi="en-US"/>
      </w:rPr>
    </w:lvl>
    <w:lvl w:ilvl="8" w:tplc="71B6E1A8">
      <w:numFmt w:val="bullet"/>
      <w:lvlText w:val="•"/>
      <w:lvlJc w:val="left"/>
      <w:pPr>
        <w:ind w:left="8044" w:hanging="361"/>
      </w:pPr>
      <w:rPr>
        <w:rFonts w:hint="default"/>
        <w:lang w:val="en-US" w:eastAsia="en-US" w:bidi="en-US"/>
      </w:rPr>
    </w:lvl>
  </w:abstractNum>
  <w:num w:numId="1">
    <w:abstractNumId w:val="6"/>
  </w:num>
  <w:num w:numId="2">
    <w:abstractNumId w:val="4"/>
  </w:num>
  <w:num w:numId="3">
    <w:abstractNumId w:val="1"/>
  </w:num>
  <w:num w:numId="4">
    <w:abstractNumId w:val="2"/>
  </w:num>
  <w:num w:numId="5">
    <w:abstractNumId w:val="7"/>
  </w:num>
  <w:num w:numId="6">
    <w:abstractNumId w:val="0"/>
  </w:num>
  <w:num w:numId="7">
    <w:abstractNumId w:val="5"/>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D2"/>
    <w:rsid w:val="00033655"/>
    <w:rsid w:val="00074213"/>
    <w:rsid w:val="001A7AAD"/>
    <w:rsid w:val="002D222D"/>
    <w:rsid w:val="003F07C9"/>
    <w:rsid w:val="0043283B"/>
    <w:rsid w:val="005616B1"/>
    <w:rsid w:val="005B139E"/>
    <w:rsid w:val="005B4EEE"/>
    <w:rsid w:val="006422DF"/>
    <w:rsid w:val="006A2FB9"/>
    <w:rsid w:val="006A604F"/>
    <w:rsid w:val="006D7F1F"/>
    <w:rsid w:val="00764293"/>
    <w:rsid w:val="00791011"/>
    <w:rsid w:val="00823B95"/>
    <w:rsid w:val="008368F1"/>
    <w:rsid w:val="008B453E"/>
    <w:rsid w:val="00A720BC"/>
    <w:rsid w:val="00A96476"/>
    <w:rsid w:val="00B34B4F"/>
    <w:rsid w:val="00B36C20"/>
    <w:rsid w:val="00B55151"/>
    <w:rsid w:val="00BB60D1"/>
    <w:rsid w:val="00C715B1"/>
    <w:rsid w:val="00C91F95"/>
    <w:rsid w:val="00C95DA6"/>
    <w:rsid w:val="00CF6642"/>
    <w:rsid w:val="00D106B4"/>
    <w:rsid w:val="00D56E2F"/>
    <w:rsid w:val="00D72925"/>
    <w:rsid w:val="00F9626A"/>
    <w:rsid w:val="00FA6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EAE5E2"/>
  <w15:docId w15:val="{CA77C1C0-2C8A-4E5E-9024-B54815BE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220"/>
      <w:outlineLvl w:val="0"/>
    </w:pPr>
    <w:rPr>
      <w:b/>
      <w:bCs/>
      <w:sz w:val="28"/>
      <w:szCs w:val="28"/>
    </w:rPr>
  </w:style>
  <w:style w:type="paragraph" w:styleId="Heading2">
    <w:name w:val="heading 2"/>
    <w:basedOn w:val="Normal"/>
    <w:uiPriority w:val="9"/>
    <w:unhideWhenUsed/>
    <w:qFormat/>
    <w:pPr>
      <w:spacing w:before="51"/>
      <w:ind w:left="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5"/>
      <w:ind w:left="94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B6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0D1"/>
    <w:rPr>
      <w:rFonts w:ascii="Segoe UI" w:eastAsia="Calibri" w:hAnsi="Segoe UI" w:cs="Segoe UI"/>
      <w:sz w:val="18"/>
      <w:szCs w:val="18"/>
      <w:lang w:bidi="en-US"/>
    </w:rPr>
  </w:style>
  <w:style w:type="character" w:styleId="CommentReference">
    <w:name w:val="annotation reference"/>
    <w:basedOn w:val="DefaultParagraphFont"/>
    <w:uiPriority w:val="99"/>
    <w:semiHidden/>
    <w:unhideWhenUsed/>
    <w:rsid w:val="00BB60D1"/>
    <w:rPr>
      <w:sz w:val="16"/>
      <w:szCs w:val="16"/>
    </w:rPr>
  </w:style>
  <w:style w:type="paragraph" w:styleId="CommentText">
    <w:name w:val="annotation text"/>
    <w:basedOn w:val="Normal"/>
    <w:link w:val="CommentTextChar"/>
    <w:uiPriority w:val="99"/>
    <w:semiHidden/>
    <w:unhideWhenUsed/>
    <w:rsid w:val="00BB60D1"/>
    <w:rPr>
      <w:sz w:val="20"/>
      <w:szCs w:val="20"/>
    </w:rPr>
  </w:style>
  <w:style w:type="character" w:customStyle="1" w:styleId="CommentTextChar">
    <w:name w:val="Comment Text Char"/>
    <w:basedOn w:val="DefaultParagraphFont"/>
    <w:link w:val="CommentText"/>
    <w:uiPriority w:val="99"/>
    <w:semiHidden/>
    <w:rsid w:val="00BB60D1"/>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BB60D1"/>
    <w:rPr>
      <w:b/>
      <w:bCs/>
    </w:rPr>
  </w:style>
  <w:style w:type="character" w:customStyle="1" w:styleId="CommentSubjectChar">
    <w:name w:val="Comment Subject Char"/>
    <w:basedOn w:val="CommentTextChar"/>
    <w:link w:val="CommentSubject"/>
    <w:uiPriority w:val="99"/>
    <w:semiHidden/>
    <w:rsid w:val="00BB60D1"/>
    <w:rPr>
      <w:rFonts w:ascii="Calibri" w:eastAsia="Calibri" w:hAnsi="Calibri" w:cs="Calibri"/>
      <w:b/>
      <w:bCs/>
      <w:sz w:val="20"/>
      <w:szCs w:val="20"/>
      <w:lang w:bidi="en-US"/>
    </w:rPr>
  </w:style>
  <w:style w:type="paragraph" w:styleId="Header">
    <w:name w:val="header"/>
    <w:basedOn w:val="Normal"/>
    <w:link w:val="HeaderChar"/>
    <w:uiPriority w:val="99"/>
    <w:unhideWhenUsed/>
    <w:rsid w:val="00B34B4F"/>
    <w:pPr>
      <w:tabs>
        <w:tab w:val="center" w:pos="4680"/>
        <w:tab w:val="right" w:pos="9360"/>
      </w:tabs>
    </w:pPr>
  </w:style>
  <w:style w:type="character" w:customStyle="1" w:styleId="HeaderChar">
    <w:name w:val="Header Char"/>
    <w:basedOn w:val="DefaultParagraphFont"/>
    <w:link w:val="Header"/>
    <w:uiPriority w:val="99"/>
    <w:rsid w:val="00B34B4F"/>
    <w:rPr>
      <w:rFonts w:ascii="Calibri" w:eastAsia="Calibri" w:hAnsi="Calibri" w:cs="Calibri"/>
      <w:lang w:bidi="en-US"/>
    </w:rPr>
  </w:style>
  <w:style w:type="paragraph" w:styleId="Footer">
    <w:name w:val="footer"/>
    <w:basedOn w:val="Normal"/>
    <w:link w:val="FooterChar"/>
    <w:uiPriority w:val="99"/>
    <w:unhideWhenUsed/>
    <w:rsid w:val="00B34B4F"/>
    <w:pPr>
      <w:tabs>
        <w:tab w:val="center" w:pos="4680"/>
        <w:tab w:val="right" w:pos="9360"/>
      </w:tabs>
    </w:pPr>
  </w:style>
  <w:style w:type="character" w:customStyle="1" w:styleId="FooterChar">
    <w:name w:val="Footer Char"/>
    <w:basedOn w:val="DefaultParagraphFont"/>
    <w:link w:val="Footer"/>
    <w:uiPriority w:val="99"/>
    <w:rsid w:val="00B34B4F"/>
    <w:rPr>
      <w:rFonts w:ascii="Calibri" w:eastAsia="Calibri" w:hAnsi="Calibri" w:cs="Calibri"/>
      <w:lang w:bidi="en-US"/>
    </w:rPr>
  </w:style>
  <w:style w:type="paragraph" w:customStyle="1" w:styleId="Default">
    <w:name w:val="Default"/>
    <w:rsid w:val="00A96476"/>
    <w:pPr>
      <w:widowControl/>
      <w:adjustRightInd w:val="0"/>
    </w:pPr>
    <w:rPr>
      <w:rFonts w:ascii="Calibri" w:hAnsi="Calibri" w:cs="Calibri"/>
      <w:color w:val="000000"/>
      <w:sz w:val="24"/>
      <w:szCs w:val="24"/>
    </w:rPr>
  </w:style>
  <w:style w:type="table" w:styleId="TableGrid">
    <w:name w:val="Table Grid"/>
    <w:basedOn w:val="TableNormal"/>
    <w:uiPriority w:val="59"/>
    <w:rsid w:val="00823B9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39AD92F612B343BB9FFCD0E80A470D" ma:contentTypeVersion="12" ma:contentTypeDescription="Create a new document." ma:contentTypeScope="" ma:versionID="31902bf9ff1b10647eba9cc8d743b1db">
  <xsd:schema xmlns:xsd="http://www.w3.org/2001/XMLSchema" xmlns:xs="http://www.w3.org/2001/XMLSchema" xmlns:p="http://schemas.microsoft.com/office/2006/metadata/properties" xmlns:ns1="http://schemas.microsoft.com/sharepoint/v3" xmlns:ns3="9344c744-4005-4585-94d3-3f953b13182b" xmlns:ns4="8558906e-a0b6-4a7c-8db0-d8709aea2f8a" targetNamespace="http://schemas.microsoft.com/office/2006/metadata/properties" ma:root="true" ma:fieldsID="b0f0e4098f56a41d9836f14435abd0a7" ns1:_="" ns3:_="" ns4:_="">
    <xsd:import namespace="http://schemas.microsoft.com/sharepoint/v3"/>
    <xsd:import namespace="9344c744-4005-4585-94d3-3f953b13182b"/>
    <xsd:import namespace="8558906e-a0b6-4a7c-8db0-d8709aea2f8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44c744-4005-4585-94d3-3f953b13182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58906e-a0b6-4a7c-8db0-d8709aea2f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9BB191-9EA4-4C41-8C38-111A4B5F4918}">
  <ds:schemaRefs>
    <ds:schemaRef ds:uri="http://schemas.microsoft.com/sharepoint/v3"/>
    <ds:schemaRef ds:uri="http://purl.org/dc/terms/"/>
    <ds:schemaRef ds:uri="http://schemas.openxmlformats.org/package/2006/metadata/core-properties"/>
    <ds:schemaRef ds:uri="8558906e-a0b6-4a7c-8db0-d8709aea2f8a"/>
    <ds:schemaRef ds:uri="http://schemas.microsoft.com/office/2006/documentManagement/types"/>
    <ds:schemaRef ds:uri="http://schemas.microsoft.com/office/infopath/2007/PartnerControls"/>
    <ds:schemaRef ds:uri="http://purl.org/dc/elements/1.1/"/>
    <ds:schemaRef ds:uri="http://schemas.microsoft.com/office/2006/metadata/properties"/>
    <ds:schemaRef ds:uri="9344c744-4005-4585-94d3-3f953b13182b"/>
    <ds:schemaRef ds:uri="http://www.w3.org/XML/1998/namespace"/>
    <ds:schemaRef ds:uri="http://purl.org/dc/dcmitype/"/>
  </ds:schemaRefs>
</ds:datastoreItem>
</file>

<file path=customXml/itemProps2.xml><?xml version="1.0" encoding="utf-8"?>
<ds:datastoreItem xmlns:ds="http://schemas.openxmlformats.org/officeDocument/2006/customXml" ds:itemID="{74A3650F-4BA7-44AA-B98D-E9DEF79C271E}">
  <ds:schemaRefs>
    <ds:schemaRef ds:uri="http://schemas.microsoft.com/sharepoint/v3/contenttype/forms"/>
  </ds:schemaRefs>
</ds:datastoreItem>
</file>

<file path=customXml/itemProps3.xml><?xml version="1.0" encoding="utf-8"?>
<ds:datastoreItem xmlns:ds="http://schemas.openxmlformats.org/officeDocument/2006/customXml" ds:itemID="{FA4AA435-561D-4EF5-A559-DD558849B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44c744-4005-4585-94d3-3f953b13182b"/>
    <ds:schemaRef ds:uri="8558906e-a0b6-4a7c-8db0-d8709aea2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1730</Words>
  <Characters>9864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Guidelines for Characterizing NPDES Stormwater Violations</vt:lpstr>
    </vt:vector>
  </TitlesOfParts>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Characterizing NPDES Stormwater Violations</dc:title>
  <dc:creator>deangelo_g</dc:creator>
  <cp:lastModifiedBy>Roughton, Laurie</cp:lastModifiedBy>
  <cp:revision>2</cp:revision>
  <dcterms:created xsi:type="dcterms:W3CDTF">2020-10-01T14:32:00Z</dcterms:created>
  <dcterms:modified xsi:type="dcterms:W3CDTF">2020-10-01T14:32:00Z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2013-10-03T00:00:00Z</vt:filetime>
  </property>
  <property fmtid="{D5CDD505-2E9C-101B-9397-08002B2CF9AE}" pid="3" name="Creator">
    <vt:lpwstr>Acrobat PDFMaker 9.1 for Word</vt:lpwstr>
  </property>
  <property fmtid="{D5CDD505-2E9C-101B-9397-08002B2CF9AE}" pid="4" name="LastSaved">
    <vt:filetime>2020-04-01T00:00:00Z</vt:filetime>
  </property>
  <property fmtid="{D5CDD505-2E9C-101B-9397-08002B2CF9AE}" pid="5" name="ContentTypeId">
    <vt:lpwstr>0x0101000E39AD92F612B343BB9FFCD0E80A470D</vt:lpwstr>
  </property>
</Properties>
</file>