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0BB" w14:textId="2A0F0C54" w:rsidR="00616760" w:rsidRDefault="00616334" w:rsidP="00C46056">
      <w:pPr>
        <w:spacing w:after="0"/>
        <w:jc w:val="center"/>
        <w:rPr>
          <w:b/>
        </w:rPr>
      </w:pPr>
      <w:bookmarkStart w:id="0" w:name="_GoBack"/>
      <w:bookmarkEnd w:id="0"/>
      <w:r w:rsidRPr="00616334">
        <w:rPr>
          <w:b/>
        </w:rPr>
        <w:t xml:space="preserve">SSO </w:t>
      </w:r>
      <w:r w:rsidR="00D35BBD">
        <w:rPr>
          <w:b/>
        </w:rPr>
        <w:t>Evaluation Tool</w:t>
      </w:r>
    </w:p>
    <w:p w14:paraId="2914A101" w14:textId="6FB1DB14" w:rsidR="00A63810" w:rsidRPr="001F4A33" w:rsidRDefault="001F4A33" w:rsidP="001F4A33">
      <w:pPr>
        <w:spacing w:after="0"/>
        <w:jc w:val="center"/>
        <w:rPr>
          <w:sz w:val="18"/>
          <w:szCs w:val="18"/>
        </w:rPr>
      </w:pPr>
      <w:r w:rsidRPr="001F4A33">
        <w:rPr>
          <w:sz w:val="18"/>
          <w:szCs w:val="18"/>
        </w:rPr>
        <w:t>May 1, 2019</w:t>
      </w:r>
    </w:p>
    <w:p w14:paraId="26FEF884" w14:textId="7693C87F" w:rsidR="00616760" w:rsidRPr="00A465FC" w:rsidRDefault="00616760" w:rsidP="00A465FC">
      <w:pPr>
        <w:spacing w:after="0"/>
        <w:rPr>
          <w:rFonts w:cs="Times New Roman"/>
          <w:b/>
          <w:sz w:val="20"/>
          <w:szCs w:val="20"/>
          <w:u w:val="single"/>
        </w:rPr>
      </w:pPr>
    </w:p>
    <w:p w14:paraId="6C31F045" w14:textId="1F2138D5" w:rsidR="00616334" w:rsidRDefault="00B74838" w:rsidP="00B74838">
      <w:pPr>
        <w:rPr>
          <w:rFonts w:cs="Times New Roman"/>
          <w:color w:val="242424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z w:val="20"/>
          <w:szCs w:val="20"/>
        </w:rPr>
        <w:t xml:space="preserve">tool herein </w:t>
      </w:r>
      <w:r w:rsidRPr="00A465FC">
        <w:rPr>
          <w:rFonts w:cs="Times New Roman"/>
          <w:sz w:val="20"/>
          <w:szCs w:val="20"/>
        </w:rPr>
        <w:t>is</w:t>
      </w:r>
      <w:r>
        <w:rPr>
          <w:rFonts w:cs="Times New Roman"/>
          <w:sz w:val="20"/>
          <w:szCs w:val="20"/>
        </w:rPr>
        <w:t xml:space="preserve"> intended</w:t>
      </w:r>
      <w:r w:rsidRPr="00A465FC">
        <w:rPr>
          <w:rFonts w:cs="Times New Roman"/>
          <w:sz w:val="20"/>
          <w:szCs w:val="20"/>
        </w:rPr>
        <w:t xml:space="preserve"> to assist District Staff in assessing </w:t>
      </w:r>
      <w:r>
        <w:rPr>
          <w:rFonts w:cs="Times New Roman"/>
          <w:sz w:val="20"/>
          <w:szCs w:val="20"/>
        </w:rPr>
        <w:t xml:space="preserve">the </w:t>
      </w:r>
      <w:r w:rsidRPr="00A465FC">
        <w:rPr>
          <w:rFonts w:cs="Times New Roman"/>
          <w:sz w:val="20"/>
          <w:szCs w:val="20"/>
        </w:rPr>
        <w:t xml:space="preserve">information </w:t>
      </w:r>
      <w:r>
        <w:rPr>
          <w:rFonts w:cs="Times New Roman"/>
          <w:sz w:val="20"/>
          <w:szCs w:val="20"/>
        </w:rPr>
        <w:t xml:space="preserve">provided for SSO’s. It </w:t>
      </w:r>
      <w:r w:rsidR="00422908">
        <w:rPr>
          <w:rFonts w:cs="Times New Roman"/>
          <w:sz w:val="20"/>
          <w:szCs w:val="20"/>
        </w:rPr>
        <w:t xml:space="preserve">should </w:t>
      </w:r>
      <w:r w:rsidRPr="00A465FC">
        <w:rPr>
          <w:rFonts w:cs="Times New Roman"/>
          <w:sz w:val="20"/>
          <w:szCs w:val="20"/>
        </w:rPr>
        <w:t>provide a rational, fair and consistent method for</w:t>
      </w:r>
      <w:r w:rsidR="0042290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 initial evaluation and initial </w:t>
      </w:r>
      <w:r w:rsidRPr="00A465FC">
        <w:rPr>
          <w:rFonts w:cs="Times New Roman"/>
          <w:sz w:val="20"/>
          <w:szCs w:val="20"/>
        </w:rPr>
        <w:t>recommendation to management.</w:t>
      </w:r>
      <w:r>
        <w:rPr>
          <w:rFonts w:cs="Times New Roman"/>
          <w:sz w:val="20"/>
          <w:szCs w:val="20"/>
        </w:rPr>
        <w:t xml:space="preserve"> Although this tool is </w:t>
      </w:r>
      <w:r w:rsidR="000E7CE6" w:rsidRPr="00B74838">
        <w:rPr>
          <w:rFonts w:cs="Times New Roman"/>
          <w:color w:val="242424"/>
          <w:sz w:val="20"/>
          <w:szCs w:val="20"/>
          <w:u w:val="single"/>
        </w:rPr>
        <w:t>not</w:t>
      </w:r>
      <w:r>
        <w:rPr>
          <w:rFonts w:cs="Times New Roman"/>
          <w:color w:val="242424"/>
          <w:sz w:val="20"/>
          <w:szCs w:val="20"/>
        </w:rPr>
        <w:t xml:space="preserve"> required to be utilized, it is intended to represent a consistent starting point</w:t>
      </w:r>
      <w:r w:rsidR="00422908">
        <w:rPr>
          <w:rFonts w:cs="Times New Roman"/>
          <w:color w:val="242424"/>
          <w:sz w:val="20"/>
          <w:szCs w:val="20"/>
        </w:rPr>
        <w:t xml:space="preserve"> for staff and should be considered in each case</w:t>
      </w:r>
      <w:r>
        <w:rPr>
          <w:rFonts w:cs="Times New Roman"/>
          <w:color w:val="242424"/>
          <w:sz w:val="20"/>
          <w:szCs w:val="20"/>
        </w:rPr>
        <w:t xml:space="preserve">. </w:t>
      </w:r>
      <w:r w:rsidR="00422908">
        <w:rPr>
          <w:rFonts w:cs="Times New Roman"/>
          <w:color w:val="242424"/>
          <w:sz w:val="20"/>
          <w:szCs w:val="20"/>
        </w:rPr>
        <w:t>As in all cases, the District Office Assistant Director, along with the Division Deputy Director should utilize their best judgement in determining how to proceed.</w:t>
      </w:r>
    </w:p>
    <w:p w14:paraId="704081F3" w14:textId="77777777" w:rsidR="00B74838" w:rsidRPr="00A465FC" w:rsidRDefault="00B74838" w:rsidP="00B74838">
      <w:pPr>
        <w:spacing w:after="0"/>
        <w:ind w:left="1"/>
        <w:rPr>
          <w:rFonts w:cs="Times New Roman"/>
          <w:b/>
          <w:sz w:val="20"/>
          <w:szCs w:val="20"/>
          <w:u w:val="single"/>
        </w:rPr>
      </w:pPr>
      <w:r w:rsidRPr="00A465FC">
        <w:rPr>
          <w:rFonts w:cs="Times New Roman"/>
          <w:b/>
          <w:sz w:val="20"/>
          <w:szCs w:val="20"/>
          <w:u w:val="single"/>
        </w:rPr>
        <w:t>Instructions:</w:t>
      </w:r>
    </w:p>
    <w:p w14:paraId="75C634E5" w14:textId="77777777" w:rsidR="00B74838" w:rsidRPr="00A465FC" w:rsidRDefault="00B74838" w:rsidP="00B74838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Look up the </w:t>
      </w:r>
      <w:r>
        <w:rPr>
          <w:rFonts w:cs="Times New Roman"/>
          <w:sz w:val="20"/>
          <w:szCs w:val="20"/>
        </w:rPr>
        <w:t xml:space="preserve">initial </w:t>
      </w:r>
      <w:r w:rsidRPr="00A465FC">
        <w:rPr>
          <w:rFonts w:cs="Times New Roman"/>
          <w:sz w:val="20"/>
          <w:szCs w:val="20"/>
        </w:rPr>
        <w:t xml:space="preserve">volume of the </w:t>
      </w:r>
      <w:r>
        <w:rPr>
          <w:rFonts w:cs="Times New Roman"/>
          <w:sz w:val="20"/>
          <w:szCs w:val="20"/>
        </w:rPr>
        <w:t>SSO</w:t>
      </w:r>
      <w:r w:rsidRPr="00A465FC">
        <w:rPr>
          <w:rFonts w:cs="Times New Roman"/>
          <w:sz w:val="20"/>
          <w:szCs w:val="20"/>
        </w:rPr>
        <w:t xml:space="preserve"> in Column A. The corresponding action in Column B is the starting point.</w:t>
      </w:r>
    </w:p>
    <w:p w14:paraId="4FE82B81" w14:textId="097E25F5" w:rsidR="00B74838" w:rsidRPr="00A465FC" w:rsidRDefault="00B74838" w:rsidP="00B74838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Determine if any of the bullets </w:t>
      </w:r>
      <w:r w:rsidR="0027126E">
        <w:rPr>
          <w:rFonts w:cs="Times New Roman"/>
          <w:sz w:val="20"/>
          <w:szCs w:val="20"/>
        </w:rPr>
        <w:t>below</w:t>
      </w:r>
      <w:r w:rsidRPr="00A465FC">
        <w:rPr>
          <w:rFonts w:cs="Times New Roman"/>
          <w:sz w:val="20"/>
          <w:szCs w:val="20"/>
        </w:rPr>
        <w:t xml:space="preserve"> apply; move up, down, or stay in the corresponding Column B as instructed by applicable bullets. </w:t>
      </w:r>
      <w:r w:rsidRPr="00B81337">
        <w:rPr>
          <w:rFonts w:cs="Times New Roman"/>
          <w:sz w:val="20"/>
          <w:szCs w:val="20"/>
        </w:rPr>
        <w:t>Moves are cumulative</w:t>
      </w:r>
      <w:r w:rsidRPr="002D56D2">
        <w:rPr>
          <w:rFonts w:cs="Times New Roman"/>
          <w:sz w:val="20"/>
          <w:szCs w:val="20"/>
        </w:rPr>
        <w:t xml:space="preserve">; </w:t>
      </w:r>
      <w:r w:rsidRPr="00B81337">
        <w:rPr>
          <w:rFonts w:cs="Times New Roman"/>
          <w:b/>
          <w:sz w:val="20"/>
          <w:szCs w:val="20"/>
        </w:rPr>
        <w:t xml:space="preserve">add all applicable moves together FIRST and then adjust </w:t>
      </w:r>
      <w:r w:rsidR="00CB667D" w:rsidRPr="00B81337">
        <w:rPr>
          <w:rFonts w:cs="Times New Roman"/>
          <w:b/>
          <w:sz w:val="20"/>
          <w:szCs w:val="20"/>
        </w:rPr>
        <w:t>the</w:t>
      </w:r>
      <w:r w:rsidRPr="00B81337">
        <w:rPr>
          <w:rFonts w:cs="Times New Roman"/>
          <w:b/>
          <w:sz w:val="20"/>
          <w:szCs w:val="20"/>
        </w:rPr>
        <w:t xml:space="preserve"> position on the chart</w:t>
      </w:r>
      <w:r w:rsidRPr="00A465FC">
        <w:rPr>
          <w:rFonts w:cs="Times New Roman"/>
          <w:sz w:val="20"/>
          <w:szCs w:val="20"/>
        </w:rPr>
        <w:t>. For example, if a spill is treated and reaches surface water, move down 1</w:t>
      </w:r>
      <w:r>
        <w:rPr>
          <w:rFonts w:cs="Times New Roman"/>
          <w:sz w:val="20"/>
          <w:szCs w:val="20"/>
        </w:rPr>
        <w:t xml:space="preserve"> on the chart (up 1 + down 2 = down 1</w:t>
      </w:r>
      <w:r w:rsidRPr="00A465FC">
        <w:rPr>
          <w:rFonts w:cs="Times New Roman"/>
          <w:sz w:val="20"/>
          <w:szCs w:val="20"/>
        </w:rPr>
        <w:t xml:space="preserve">. Adding moves together before </w:t>
      </w:r>
      <w:r>
        <w:rPr>
          <w:rFonts w:cs="Times New Roman"/>
          <w:sz w:val="20"/>
          <w:szCs w:val="20"/>
        </w:rPr>
        <w:t>adjusting on</w:t>
      </w:r>
      <w:r w:rsidRPr="00A465FC">
        <w:rPr>
          <w:rFonts w:cs="Times New Roman"/>
          <w:sz w:val="20"/>
          <w:szCs w:val="20"/>
        </w:rPr>
        <w:t xml:space="preserve"> the chart will prevent bottoming out</w:t>
      </w:r>
      <w:r>
        <w:rPr>
          <w:rFonts w:cs="Times New Roman"/>
          <w:sz w:val="20"/>
          <w:szCs w:val="20"/>
        </w:rPr>
        <w:t>/up</w:t>
      </w:r>
      <w:r w:rsidRPr="00A465F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on the chart</w:t>
      </w:r>
      <w:r w:rsidRPr="00A465FC">
        <w:rPr>
          <w:rFonts w:cs="Times New Roman"/>
          <w:sz w:val="20"/>
          <w:szCs w:val="20"/>
        </w:rPr>
        <w:t>.)</w:t>
      </w:r>
    </w:p>
    <w:p w14:paraId="18D9C683" w14:textId="77777777" w:rsidR="00B74838" w:rsidRPr="00A465FC" w:rsidRDefault="00B74838" w:rsidP="00B74838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>Consideration “Response, Operation &amp; Maintenance actions” is where gallons recovered is accounted. For example, 20,000 gallons was spilled and 15,000 of the 20,000 gallons was recovered, therefore, move up one.</w:t>
      </w:r>
    </w:p>
    <w:p w14:paraId="48993DB3" w14:textId="5A6BBA73" w:rsidR="00B74838" w:rsidRPr="00A465FC" w:rsidRDefault="00B74838" w:rsidP="00B74838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Unique site-specific items and common sense should still be </w:t>
      </w:r>
      <w:r w:rsidR="00422908" w:rsidRPr="00A465FC">
        <w:rPr>
          <w:rFonts w:cs="Times New Roman"/>
          <w:sz w:val="20"/>
          <w:szCs w:val="20"/>
        </w:rPr>
        <w:t>considered</w:t>
      </w:r>
      <w:r w:rsidRPr="00A465FC">
        <w:rPr>
          <w:rFonts w:cs="Times New Roman"/>
          <w:sz w:val="20"/>
          <w:szCs w:val="20"/>
        </w:rPr>
        <w:t>. For example, if the spill entered a wet detention pond that is not considered surface water, but the pond was full, and it has been raining all week; discuss with management and determine if moving down Column B is appropriate.</w:t>
      </w:r>
    </w:p>
    <w:p w14:paraId="35E2B505" w14:textId="77777777" w:rsidR="00CA7FF5" w:rsidRDefault="00B74838" w:rsidP="00CA7FF5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>Other items such as water body classification, good faith, failure to sample, water quality violation, compliance history should be considered in the penalty calculation, as applicable.</w:t>
      </w:r>
      <w:r w:rsidR="00CA7FF5" w:rsidRPr="00CA7FF5">
        <w:rPr>
          <w:rFonts w:cs="Times New Roman"/>
          <w:sz w:val="20"/>
          <w:szCs w:val="20"/>
        </w:rPr>
        <w:t xml:space="preserve"> </w:t>
      </w:r>
    </w:p>
    <w:p w14:paraId="7F0385B0" w14:textId="77777777" w:rsidR="00203962" w:rsidRDefault="00203962" w:rsidP="00203962">
      <w:pPr>
        <w:pStyle w:val="ListParagraph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four possible initial responses are coded in the database as follows:</w:t>
      </w:r>
    </w:p>
    <w:p w14:paraId="452CA933" w14:textId="77777777" w:rsidR="00203962" w:rsidRDefault="00203962" w:rsidP="00203962">
      <w:pPr>
        <w:pStyle w:val="ListParagraph"/>
        <w:numPr>
          <w:ilvl w:val="0"/>
          <w:numId w:val="3"/>
        </w:numPr>
      </w:pPr>
      <w:r w:rsidRPr="009053B7">
        <w:rPr>
          <w:sz w:val="20"/>
          <w:szCs w:val="20"/>
        </w:rPr>
        <w:t>Memo to file: Should consider the discovery mechanism and include</w:t>
      </w:r>
      <w:r>
        <w:rPr>
          <w:sz w:val="20"/>
          <w:szCs w:val="20"/>
        </w:rPr>
        <w:t xml:space="preserve"> brief</w:t>
      </w:r>
      <w:r w:rsidRPr="009053B7">
        <w:rPr>
          <w:sz w:val="20"/>
          <w:szCs w:val="20"/>
        </w:rPr>
        <w:t xml:space="preserve"> rationale of why compliance assistance or enforcement is not being pursued. </w:t>
      </w:r>
    </w:p>
    <w:p w14:paraId="5D63D188" w14:textId="77777777" w:rsidR="00203962" w:rsidRDefault="00203962" w:rsidP="00203962">
      <w:pPr>
        <w:pStyle w:val="ListParagraph"/>
        <w:numPr>
          <w:ilvl w:val="2"/>
          <w:numId w:val="4"/>
        </w:numPr>
        <w:ind w:left="1530" w:hanging="90"/>
        <w:rPr>
          <w:sz w:val="20"/>
          <w:szCs w:val="20"/>
        </w:rPr>
      </w:pPr>
      <w:r w:rsidRPr="00AC045A">
        <w:rPr>
          <w:sz w:val="20"/>
          <w:szCs w:val="20"/>
        </w:rPr>
        <w:t>SRVC</w:t>
      </w:r>
      <w:r>
        <w:rPr>
          <w:sz w:val="20"/>
          <w:szCs w:val="20"/>
        </w:rPr>
        <w:t xml:space="preserve">: Submittal Received by Department - </w:t>
      </w:r>
      <w:r w:rsidRPr="00AC045A">
        <w:rPr>
          <w:sz w:val="20"/>
          <w:szCs w:val="20"/>
        </w:rPr>
        <w:t>Use the email or other electronic notification to document discovery and</w:t>
      </w:r>
      <w:r>
        <w:rPr>
          <w:sz w:val="20"/>
          <w:szCs w:val="20"/>
        </w:rPr>
        <w:t xml:space="preserve"> any</w:t>
      </w:r>
      <w:r w:rsidRPr="00AC045A">
        <w:rPr>
          <w:sz w:val="20"/>
          <w:szCs w:val="20"/>
        </w:rPr>
        <w:t xml:space="preserve"> follow-up actions</w:t>
      </w:r>
      <w:r>
        <w:rPr>
          <w:sz w:val="20"/>
          <w:szCs w:val="20"/>
        </w:rPr>
        <w:t>.</w:t>
      </w:r>
    </w:p>
    <w:p w14:paraId="596A3D99" w14:textId="77777777" w:rsidR="00203962" w:rsidRDefault="00203962" w:rsidP="00203962">
      <w:pPr>
        <w:pStyle w:val="ListParagraph"/>
        <w:numPr>
          <w:ilvl w:val="2"/>
          <w:numId w:val="4"/>
        </w:numPr>
        <w:ind w:left="1530" w:hanging="90"/>
        <w:rPr>
          <w:sz w:val="20"/>
          <w:szCs w:val="20"/>
        </w:rPr>
      </w:pPr>
      <w:r w:rsidRPr="009053B7">
        <w:rPr>
          <w:sz w:val="20"/>
          <w:szCs w:val="20"/>
        </w:rPr>
        <w:t xml:space="preserve">CALL </w:t>
      </w:r>
      <w:r>
        <w:rPr>
          <w:sz w:val="20"/>
          <w:szCs w:val="20"/>
        </w:rPr>
        <w:t>- F</w:t>
      </w:r>
      <w:r w:rsidRPr="009053B7">
        <w:rPr>
          <w:sz w:val="20"/>
          <w:szCs w:val="20"/>
        </w:rPr>
        <w:t>or oral notifications made by phone, with an electronic document</w:t>
      </w:r>
      <w:r>
        <w:rPr>
          <w:sz w:val="20"/>
          <w:szCs w:val="20"/>
        </w:rPr>
        <w:t xml:space="preserve"> (Memo to file)</w:t>
      </w:r>
      <w:r w:rsidRPr="009053B7">
        <w:rPr>
          <w:sz w:val="20"/>
          <w:szCs w:val="20"/>
        </w:rPr>
        <w:t xml:space="preserve"> created </w:t>
      </w:r>
      <w:r>
        <w:rPr>
          <w:sz w:val="20"/>
          <w:szCs w:val="20"/>
        </w:rPr>
        <w:t xml:space="preserve">to describe </w:t>
      </w:r>
      <w:r w:rsidRPr="009053B7">
        <w:rPr>
          <w:sz w:val="20"/>
          <w:szCs w:val="20"/>
        </w:rPr>
        <w:t xml:space="preserve">the </w:t>
      </w:r>
      <w:r>
        <w:rPr>
          <w:sz w:val="20"/>
          <w:szCs w:val="20"/>
        </w:rPr>
        <w:t>details</w:t>
      </w:r>
      <w:r w:rsidRPr="009053B7">
        <w:rPr>
          <w:sz w:val="20"/>
          <w:szCs w:val="20"/>
        </w:rPr>
        <w:t xml:space="preserve"> of the call</w:t>
      </w:r>
      <w:r>
        <w:rPr>
          <w:sz w:val="20"/>
          <w:szCs w:val="20"/>
        </w:rPr>
        <w:t>.</w:t>
      </w:r>
    </w:p>
    <w:p w14:paraId="5BCA05B3" w14:textId="77777777" w:rsidR="00203962" w:rsidRDefault="00203962" w:rsidP="00203962">
      <w:pPr>
        <w:pStyle w:val="ListParagraph"/>
        <w:numPr>
          <w:ilvl w:val="2"/>
          <w:numId w:val="4"/>
        </w:numPr>
        <w:ind w:left="1530" w:hanging="90"/>
        <w:rPr>
          <w:sz w:val="20"/>
          <w:szCs w:val="20"/>
        </w:rPr>
      </w:pPr>
      <w:r w:rsidRPr="008E6F93">
        <w:rPr>
          <w:sz w:val="20"/>
          <w:szCs w:val="20"/>
        </w:rPr>
        <w:t>SV</w:t>
      </w:r>
      <w:r>
        <w:rPr>
          <w:sz w:val="20"/>
          <w:szCs w:val="20"/>
        </w:rPr>
        <w:t xml:space="preserve">: </w:t>
      </w:r>
      <w:r w:rsidRPr="008E6F93">
        <w:rPr>
          <w:sz w:val="20"/>
          <w:szCs w:val="20"/>
        </w:rPr>
        <w:t xml:space="preserve">Site Visit </w:t>
      </w:r>
      <w:r>
        <w:rPr>
          <w:sz w:val="20"/>
          <w:szCs w:val="20"/>
        </w:rPr>
        <w:t>- I</w:t>
      </w:r>
      <w:r w:rsidRPr="008E6F93">
        <w:rPr>
          <w:sz w:val="20"/>
          <w:szCs w:val="20"/>
        </w:rPr>
        <w:t>f discovered by DEP while in the field for other purposes</w:t>
      </w:r>
      <w:r>
        <w:rPr>
          <w:sz w:val="20"/>
          <w:szCs w:val="20"/>
        </w:rPr>
        <w:t>;</w:t>
      </w:r>
      <w:r w:rsidRPr="008E6F93">
        <w:rPr>
          <w:sz w:val="20"/>
          <w:szCs w:val="20"/>
        </w:rPr>
        <w:t xml:space="preserve"> with electronic document</w:t>
      </w:r>
      <w:r>
        <w:rPr>
          <w:sz w:val="20"/>
          <w:szCs w:val="20"/>
        </w:rPr>
        <w:t>(s) describing visit.</w:t>
      </w:r>
      <w:r>
        <w:t xml:space="preserve"> </w:t>
      </w:r>
    </w:p>
    <w:p w14:paraId="70498C2D" w14:textId="77777777" w:rsidR="00203962" w:rsidRPr="009053B7" w:rsidRDefault="00203962" w:rsidP="00203962">
      <w:pPr>
        <w:pStyle w:val="ListParagraph"/>
        <w:numPr>
          <w:ilvl w:val="2"/>
          <w:numId w:val="4"/>
        </w:numPr>
        <w:ind w:left="1530" w:hanging="90"/>
        <w:rPr>
          <w:sz w:val="20"/>
          <w:szCs w:val="20"/>
        </w:rPr>
      </w:pPr>
      <w:r w:rsidRPr="009053B7">
        <w:rPr>
          <w:sz w:val="20"/>
          <w:szCs w:val="20"/>
        </w:rPr>
        <w:t>CPR</w:t>
      </w:r>
      <w:r>
        <w:rPr>
          <w:sz w:val="20"/>
          <w:szCs w:val="20"/>
        </w:rPr>
        <w:t xml:space="preserve">: </w:t>
      </w:r>
      <w:r w:rsidRPr="009053B7">
        <w:rPr>
          <w:sz w:val="20"/>
          <w:szCs w:val="20"/>
        </w:rPr>
        <w:t xml:space="preserve">Complaint Received - </w:t>
      </w:r>
      <w:r>
        <w:rPr>
          <w:sz w:val="20"/>
          <w:szCs w:val="20"/>
        </w:rPr>
        <w:t>I</w:t>
      </w:r>
      <w:r w:rsidRPr="009053B7">
        <w:rPr>
          <w:sz w:val="20"/>
          <w:szCs w:val="20"/>
        </w:rPr>
        <w:t>f reported by a third party, with electronic document</w:t>
      </w:r>
      <w:r>
        <w:rPr>
          <w:sz w:val="20"/>
          <w:szCs w:val="20"/>
        </w:rPr>
        <w:t>(s)</w:t>
      </w:r>
      <w:r w:rsidRPr="009053B7"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escribing </w:t>
      </w:r>
      <w:r w:rsidRPr="009053B7">
        <w:rPr>
          <w:sz w:val="20"/>
          <w:szCs w:val="20"/>
        </w:rPr>
        <w:t>the complaint investigation or details explaining w</w:t>
      </w:r>
      <w:r>
        <w:rPr>
          <w:sz w:val="20"/>
          <w:szCs w:val="20"/>
        </w:rPr>
        <w:t>hy</w:t>
      </w:r>
      <w:r w:rsidRPr="009053B7">
        <w:rPr>
          <w:sz w:val="20"/>
          <w:szCs w:val="20"/>
        </w:rPr>
        <w:t xml:space="preserve"> an investigation was not needed</w:t>
      </w:r>
      <w:r>
        <w:rPr>
          <w:sz w:val="20"/>
          <w:szCs w:val="20"/>
        </w:rPr>
        <w:t>.</w:t>
      </w:r>
      <w:r w:rsidRPr="009053B7">
        <w:rPr>
          <w:sz w:val="20"/>
          <w:szCs w:val="20"/>
        </w:rPr>
        <w:t xml:space="preserve"> </w:t>
      </w:r>
    </w:p>
    <w:p w14:paraId="5093869E" w14:textId="77777777" w:rsidR="00203962" w:rsidRPr="00CB667D" w:rsidRDefault="00203962" w:rsidP="002039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B667D">
        <w:rPr>
          <w:sz w:val="20"/>
          <w:szCs w:val="20"/>
        </w:rPr>
        <w:t>CAO – Verbal: OCA</w:t>
      </w:r>
    </w:p>
    <w:p w14:paraId="46A0475F" w14:textId="77777777" w:rsidR="00203962" w:rsidRPr="00CB667D" w:rsidRDefault="00203962" w:rsidP="002039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B667D">
        <w:rPr>
          <w:sz w:val="20"/>
          <w:szCs w:val="20"/>
        </w:rPr>
        <w:t>CAO – Written: NCLI</w:t>
      </w:r>
    </w:p>
    <w:p w14:paraId="3F857C6F" w14:textId="1CF7CE27" w:rsidR="00203962" w:rsidRPr="00203962" w:rsidRDefault="00203962" w:rsidP="002039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667D">
        <w:rPr>
          <w:sz w:val="20"/>
          <w:szCs w:val="20"/>
        </w:rPr>
        <w:t>WL: WLI</w:t>
      </w:r>
    </w:p>
    <w:p w14:paraId="0E69AB59" w14:textId="77777777" w:rsidR="00822575" w:rsidRDefault="00CA7FF5" w:rsidP="00B74838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  <w:sectPr w:rsidR="00822575" w:rsidSect="006D4558">
          <w:pgSz w:w="12240" w:h="15840"/>
          <w:pgMar w:top="1008" w:right="1170" w:bottom="864" w:left="1296" w:header="720" w:footer="720" w:gutter="0"/>
          <w:cols w:space="720"/>
          <w:docGrid w:linePitch="360"/>
        </w:sectPr>
      </w:pPr>
      <w:r w:rsidRPr="00CA7FF5">
        <w:rPr>
          <w:rFonts w:cs="Times New Roman"/>
          <w:sz w:val="20"/>
          <w:szCs w:val="20"/>
        </w:rPr>
        <w:t>All four initial response must be documented and filed in Oculus for the applicable facility under Enforcement/Legal. See the SSO memo to file template</w:t>
      </w:r>
    </w:p>
    <w:p w14:paraId="14B40926" w14:textId="3A781B82" w:rsidR="00B74838" w:rsidRPr="00CA7FF5" w:rsidRDefault="00CA7FF5" w:rsidP="00822575">
      <w:pPr>
        <w:pStyle w:val="ListParagraph"/>
        <w:ind w:left="361"/>
        <w:rPr>
          <w:rFonts w:cs="Times New Roman"/>
          <w:b/>
          <w:sz w:val="20"/>
          <w:szCs w:val="20"/>
        </w:rPr>
      </w:pPr>
      <w:r w:rsidRPr="00CA7FF5">
        <w:rPr>
          <w:rFonts w:cs="Times New Roman"/>
          <w:sz w:val="20"/>
          <w:szCs w:val="20"/>
        </w:rPr>
        <w:t xml:space="preserve"> </w:t>
      </w:r>
    </w:p>
    <w:tbl>
      <w:tblPr>
        <w:tblStyle w:val="TableGrid"/>
        <w:tblW w:w="4860" w:type="dxa"/>
        <w:tblInd w:w="-5" w:type="dxa"/>
        <w:tblLook w:val="04A0" w:firstRow="1" w:lastRow="0" w:firstColumn="1" w:lastColumn="0" w:noHBand="0" w:noVBand="1"/>
      </w:tblPr>
      <w:tblGrid>
        <w:gridCol w:w="1877"/>
        <w:gridCol w:w="2983"/>
      </w:tblGrid>
      <w:tr w:rsidR="001F4A33" w:rsidRPr="00A465FC" w14:paraId="69138E2E" w14:textId="2EC53C2C" w:rsidTr="00822575">
        <w:tc>
          <w:tcPr>
            <w:tcW w:w="1877" w:type="dxa"/>
          </w:tcPr>
          <w:p w14:paraId="52DB682C" w14:textId="77777777" w:rsidR="001F4A33" w:rsidRPr="00A465FC" w:rsidRDefault="001F4A33" w:rsidP="006163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65FC">
              <w:rPr>
                <w:rFonts w:cs="Times New Roman"/>
                <w:b/>
                <w:sz w:val="20"/>
                <w:szCs w:val="20"/>
              </w:rPr>
              <w:t>Column A:</w:t>
            </w:r>
          </w:p>
          <w:p w14:paraId="46384969" w14:textId="7F5188EA" w:rsidR="001F4A33" w:rsidRPr="00A465FC" w:rsidRDefault="001F4A33" w:rsidP="00616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Initial Spill Volume</w:t>
            </w:r>
          </w:p>
          <w:p w14:paraId="78650A6C" w14:textId="77777777" w:rsidR="001F4A33" w:rsidRPr="00A465FC" w:rsidRDefault="001F4A33" w:rsidP="00616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(gallons)</w:t>
            </w:r>
          </w:p>
          <w:p w14:paraId="574DC3CC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5D5D5EF8" w14:textId="77777777" w:rsidR="001F4A33" w:rsidRPr="00A465FC" w:rsidRDefault="001F4A33" w:rsidP="001550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65FC">
              <w:rPr>
                <w:rFonts w:cs="Times New Roman"/>
                <w:b/>
                <w:sz w:val="20"/>
                <w:szCs w:val="20"/>
              </w:rPr>
              <w:t>Column B:</w:t>
            </w:r>
          </w:p>
          <w:p w14:paraId="62114594" w14:textId="77777777" w:rsidR="001F4A33" w:rsidRPr="00A465FC" w:rsidRDefault="001F4A33" w:rsidP="001550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Starting point actions by DEP staff</w:t>
            </w:r>
          </w:p>
          <w:p w14:paraId="4BA737C6" w14:textId="7DE7FF81" w:rsidR="001F4A33" w:rsidRPr="00A465FC" w:rsidRDefault="001F4A33" w:rsidP="001550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See </w:t>
            </w:r>
            <w:r w:rsidR="00A36A9D">
              <w:rPr>
                <w:rFonts w:cs="Times New Roman"/>
                <w:sz w:val="20"/>
                <w:szCs w:val="20"/>
              </w:rPr>
              <w:t>instructions above</w:t>
            </w:r>
            <w:r w:rsidRPr="00A465FC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1F4A33" w:rsidRPr="00A465FC" w14:paraId="4CE3BBBE" w14:textId="6A78E3DF" w:rsidTr="00822575">
        <w:tc>
          <w:tcPr>
            <w:tcW w:w="1877" w:type="dxa"/>
            <w:shd w:val="clear" w:color="auto" w:fill="B4C6E7" w:themeFill="accent1" w:themeFillTint="66"/>
          </w:tcPr>
          <w:p w14:paraId="2E426017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B4C6E7" w:themeFill="accent1" w:themeFillTint="66"/>
          </w:tcPr>
          <w:p w14:paraId="436D22FA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A33" w:rsidRPr="00A465FC" w14:paraId="68BC71CD" w14:textId="107B3604" w:rsidTr="00822575">
        <w:tc>
          <w:tcPr>
            <w:tcW w:w="1877" w:type="dxa"/>
          </w:tcPr>
          <w:p w14:paraId="57A64994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1 – 1,000</w:t>
            </w:r>
          </w:p>
        </w:tc>
        <w:tc>
          <w:tcPr>
            <w:tcW w:w="2983" w:type="dxa"/>
          </w:tcPr>
          <w:p w14:paraId="21619FA3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Review 5-day report</w:t>
            </w:r>
          </w:p>
          <w:p w14:paraId="39360722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Memo to file</w:t>
            </w:r>
          </w:p>
        </w:tc>
      </w:tr>
      <w:tr w:rsidR="001F4A33" w:rsidRPr="00A465FC" w14:paraId="5FB55A9D" w14:textId="18F42921" w:rsidTr="00822575">
        <w:tc>
          <w:tcPr>
            <w:tcW w:w="1877" w:type="dxa"/>
          </w:tcPr>
          <w:p w14:paraId="2066A622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1,001 – 10,000</w:t>
            </w:r>
          </w:p>
        </w:tc>
        <w:tc>
          <w:tcPr>
            <w:tcW w:w="2983" w:type="dxa"/>
          </w:tcPr>
          <w:p w14:paraId="1D0025F8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Review 5-day report</w:t>
            </w:r>
          </w:p>
          <w:p w14:paraId="29BD56BD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Memo to file</w:t>
            </w:r>
          </w:p>
        </w:tc>
      </w:tr>
      <w:tr w:rsidR="001F4A33" w:rsidRPr="00A465FC" w14:paraId="541766F8" w14:textId="00AE2105" w:rsidTr="00822575">
        <w:tc>
          <w:tcPr>
            <w:tcW w:w="1877" w:type="dxa"/>
          </w:tcPr>
          <w:p w14:paraId="4B621D97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10,001 – 100,000</w:t>
            </w:r>
          </w:p>
        </w:tc>
        <w:tc>
          <w:tcPr>
            <w:tcW w:w="2983" w:type="dxa"/>
          </w:tcPr>
          <w:p w14:paraId="0E15FA8E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Review 5-day report</w:t>
            </w:r>
          </w:p>
          <w:p w14:paraId="7C39E51C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CAO</w:t>
            </w:r>
          </w:p>
        </w:tc>
      </w:tr>
      <w:tr w:rsidR="001F4A33" w:rsidRPr="00A465FC" w14:paraId="0DDCC1FE" w14:textId="20E3044C" w:rsidTr="00822575">
        <w:tc>
          <w:tcPr>
            <w:tcW w:w="1877" w:type="dxa"/>
          </w:tcPr>
          <w:p w14:paraId="20D6256B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100,001 +</w:t>
            </w:r>
          </w:p>
        </w:tc>
        <w:tc>
          <w:tcPr>
            <w:tcW w:w="2983" w:type="dxa"/>
          </w:tcPr>
          <w:p w14:paraId="52662DDF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Review 5-day report</w:t>
            </w:r>
          </w:p>
          <w:p w14:paraId="34FAA019" w14:textId="77777777" w:rsidR="001F4A33" w:rsidRPr="00A465FC" w:rsidRDefault="001F4A33">
            <w:pPr>
              <w:rPr>
                <w:rFonts w:cs="Times New Roman"/>
                <w:sz w:val="20"/>
                <w:szCs w:val="20"/>
              </w:rPr>
            </w:pPr>
            <w:r w:rsidRPr="00A465FC">
              <w:rPr>
                <w:rFonts w:cs="Times New Roman"/>
                <w:sz w:val="20"/>
                <w:szCs w:val="20"/>
              </w:rPr>
              <w:t>WL (possible enforcement actions)</w:t>
            </w:r>
          </w:p>
        </w:tc>
      </w:tr>
    </w:tbl>
    <w:p w14:paraId="690AD7C1" w14:textId="47B0BD47" w:rsidR="004D0C29" w:rsidRPr="00A465FC" w:rsidRDefault="005A7587" w:rsidP="00CB667D">
      <w:pPr>
        <w:spacing w:after="0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ab/>
      </w:r>
      <w:r w:rsidRPr="00A465FC">
        <w:rPr>
          <w:rFonts w:cs="Times New Roman"/>
          <w:sz w:val="20"/>
          <w:szCs w:val="20"/>
        </w:rPr>
        <w:tab/>
      </w:r>
      <w:r w:rsidRPr="00A465FC">
        <w:rPr>
          <w:rFonts w:cs="Times New Roman"/>
          <w:sz w:val="20"/>
          <w:szCs w:val="20"/>
        </w:rPr>
        <w:tab/>
      </w:r>
    </w:p>
    <w:p w14:paraId="796CD1CD" w14:textId="77777777" w:rsidR="00822575" w:rsidRDefault="00822575" w:rsidP="00A465FC">
      <w:pPr>
        <w:spacing w:after="0"/>
        <w:rPr>
          <w:rFonts w:cs="Times New Roman"/>
          <w:b/>
          <w:sz w:val="20"/>
          <w:szCs w:val="20"/>
          <w:u w:val="single"/>
        </w:rPr>
      </w:pPr>
    </w:p>
    <w:p w14:paraId="600406F0" w14:textId="2768C57B" w:rsidR="003D279A" w:rsidRPr="00A465FC" w:rsidRDefault="003D279A" w:rsidP="00A465FC">
      <w:pPr>
        <w:spacing w:after="0"/>
        <w:rPr>
          <w:rFonts w:cs="Times New Roman"/>
          <w:b/>
          <w:sz w:val="20"/>
          <w:szCs w:val="20"/>
          <w:u w:val="single"/>
        </w:rPr>
      </w:pPr>
      <w:r w:rsidRPr="00A465FC">
        <w:rPr>
          <w:rFonts w:cs="Times New Roman"/>
          <w:b/>
          <w:sz w:val="20"/>
          <w:szCs w:val="20"/>
          <w:u w:val="single"/>
        </w:rPr>
        <w:t xml:space="preserve">Consider for </w:t>
      </w:r>
      <w:r w:rsidR="00291342" w:rsidRPr="00A465FC">
        <w:rPr>
          <w:rFonts w:cs="Times New Roman"/>
          <w:b/>
          <w:sz w:val="20"/>
          <w:szCs w:val="20"/>
          <w:u w:val="single"/>
        </w:rPr>
        <w:t>moving up or down column B</w:t>
      </w:r>
      <w:r w:rsidRPr="00A465FC">
        <w:rPr>
          <w:rFonts w:cs="Times New Roman"/>
          <w:b/>
          <w:sz w:val="20"/>
          <w:szCs w:val="20"/>
          <w:u w:val="single"/>
        </w:rPr>
        <w:t xml:space="preserve">: </w:t>
      </w:r>
    </w:p>
    <w:p w14:paraId="158B20BF" w14:textId="610FEB9B" w:rsidR="003D279A" w:rsidRDefault="003D279A" w:rsidP="00F074E7">
      <w:pPr>
        <w:pStyle w:val="ListParagraph"/>
        <w:numPr>
          <w:ilvl w:val="0"/>
          <w:numId w:val="1"/>
        </w:numPr>
        <w:spacing w:after="0"/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>Chronic Spills</w:t>
      </w:r>
      <w:r w:rsidR="00291342" w:rsidRPr="00A465FC">
        <w:rPr>
          <w:rFonts w:cs="Times New Roman"/>
          <w:sz w:val="20"/>
          <w:szCs w:val="20"/>
        </w:rPr>
        <w:t xml:space="preserve"> – move down 1</w:t>
      </w:r>
      <w:r w:rsidR="00074426">
        <w:rPr>
          <w:rFonts w:cs="Times New Roman"/>
          <w:sz w:val="20"/>
          <w:szCs w:val="20"/>
        </w:rPr>
        <w:t xml:space="preserve"> </w:t>
      </w:r>
    </w:p>
    <w:p w14:paraId="0B350E35" w14:textId="35AB2FEE" w:rsidR="00F074E7" w:rsidRPr="002D531D" w:rsidRDefault="00F074E7" w:rsidP="00F074E7">
      <w:pPr>
        <w:spacing w:after="0"/>
        <w:ind w:left="361"/>
        <w:rPr>
          <w:rFonts w:cs="Times New Roman"/>
          <w:b/>
          <w:sz w:val="14"/>
          <w:szCs w:val="14"/>
        </w:rPr>
      </w:pPr>
      <w:r w:rsidRPr="002D531D">
        <w:rPr>
          <w:rFonts w:cs="Times New Roman"/>
          <w:sz w:val="14"/>
          <w:szCs w:val="14"/>
        </w:rPr>
        <w:t>(Note: ‘chronic’ is 2 or more spills in a 12-mo</w:t>
      </w:r>
      <w:r w:rsidR="002D531D" w:rsidRPr="002D531D">
        <w:rPr>
          <w:rFonts w:cs="Times New Roman"/>
          <w:sz w:val="14"/>
          <w:szCs w:val="14"/>
        </w:rPr>
        <w:t>nth</w:t>
      </w:r>
      <w:r w:rsidRPr="002D531D">
        <w:rPr>
          <w:rFonts w:cs="Times New Roman"/>
          <w:sz w:val="14"/>
          <w:szCs w:val="14"/>
        </w:rPr>
        <w:t xml:space="preserve"> period from the same location or &gt;6 spills per 100 miles of collection system piping, per Brad Ammons, U.S. EPA.</w:t>
      </w:r>
      <w:r w:rsidR="002D531D" w:rsidRPr="002D531D">
        <w:rPr>
          <w:rFonts w:cs="Times New Roman"/>
          <w:sz w:val="14"/>
          <w:szCs w:val="14"/>
        </w:rPr>
        <w:t>)</w:t>
      </w:r>
    </w:p>
    <w:p w14:paraId="7057B416" w14:textId="683BF009" w:rsidR="00440939" w:rsidRPr="00A465FC" w:rsidRDefault="005049BC" w:rsidP="002C396B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Treated or </w:t>
      </w:r>
      <w:r w:rsidR="00440939" w:rsidRPr="00A465FC">
        <w:rPr>
          <w:rFonts w:cs="Times New Roman"/>
          <w:sz w:val="20"/>
          <w:szCs w:val="20"/>
        </w:rPr>
        <w:t>Reuse spill – move up 1</w:t>
      </w:r>
    </w:p>
    <w:p w14:paraId="15740705" w14:textId="701C28D9" w:rsidR="002C396B" w:rsidRPr="00A465FC" w:rsidRDefault="00291342" w:rsidP="002C396B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Partially Treated – </w:t>
      </w:r>
      <w:r w:rsidR="002C396B" w:rsidRPr="00A465FC">
        <w:rPr>
          <w:rFonts w:cs="Times New Roman"/>
          <w:sz w:val="20"/>
          <w:szCs w:val="20"/>
        </w:rPr>
        <w:t xml:space="preserve">stay </w:t>
      </w:r>
    </w:p>
    <w:p w14:paraId="1F3E172C" w14:textId="3A0F6381" w:rsidR="00291342" w:rsidRPr="00A465FC" w:rsidRDefault="00291342" w:rsidP="00291342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>Untreated – move down</w:t>
      </w:r>
      <w:r w:rsidR="002C396B" w:rsidRPr="00A465FC">
        <w:rPr>
          <w:rFonts w:cs="Times New Roman"/>
          <w:sz w:val="20"/>
          <w:szCs w:val="20"/>
        </w:rPr>
        <w:t xml:space="preserve"> 1</w:t>
      </w:r>
      <w:r w:rsidR="00074426">
        <w:rPr>
          <w:rFonts w:cs="Times New Roman"/>
          <w:sz w:val="20"/>
          <w:szCs w:val="20"/>
        </w:rPr>
        <w:t xml:space="preserve"> </w:t>
      </w:r>
    </w:p>
    <w:p w14:paraId="2C0BA9FC" w14:textId="68A642C0" w:rsidR="003D279A" w:rsidRPr="00A465FC" w:rsidRDefault="007710CE" w:rsidP="00291342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Response, </w:t>
      </w:r>
      <w:r w:rsidR="003D279A" w:rsidRPr="00A465FC">
        <w:rPr>
          <w:rFonts w:cs="Times New Roman"/>
          <w:sz w:val="20"/>
          <w:szCs w:val="20"/>
        </w:rPr>
        <w:t xml:space="preserve">Operation &amp; Maintenance </w:t>
      </w:r>
      <w:r w:rsidRPr="00A465FC">
        <w:rPr>
          <w:rFonts w:cs="Times New Roman"/>
          <w:sz w:val="20"/>
          <w:szCs w:val="20"/>
        </w:rPr>
        <w:t>actions</w:t>
      </w:r>
      <w:r w:rsidR="00291342" w:rsidRPr="00A465FC">
        <w:rPr>
          <w:rFonts w:cs="Times New Roman"/>
          <w:sz w:val="20"/>
          <w:szCs w:val="20"/>
        </w:rPr>
        <w:t xml:space="preserve"> – </w:t>
      </w:r>
      <w:r w:rsidRPr="00A465FC">
        <w:rPr>
          <w:rFonts w:cs="Times New Roman"/>
          <w:sz w:val="20"/>
          <w:szCs w:val="20"/>
        </w:rPr>
        <w:t>poor =</w:t>
      </w:r>
      <w:r w:rsidR="00291342" w:rsidRPr="00A465FC">
        <w:rPr>
          <w:rFonts w:cs="Times New Roman"/>
          <w:sz w:val="20"/>
          <w:szCs w:val="20"/>
        </w:rPr>
        <w:t xml:space="preserve"> move down 1, good </w:t>
      </w:r>
      <w:r w:rsidRPr="00A465FC">
        <w:rPr>
          <w:rFonts w:cs="Times New Roman"/>
          <w:sz w:val="20"/>
          <w:szCs w:val="20"/>
        </w:rPr>
        <w:t xml:space="preserve">= </w:t>
      </w:r>
      <w:r w:rsidR="00291342" w:rsidRPr="00A465FC">
        <w:rPr>
          <w:rFonts w:cs="Times New Roman"/>
          <w:sz w:val="20"/>
          <w:szCs w:val="20"/>
        </w:rPr>
        <w:t>move up 1</w:t>
      </w:r>
      <w:r w:rsidR="00074426">
        <w:rPr>
          <w:rFonts w:cs="Times New Roman"/>
          <w:sz w:val="20"/>
          <w:szCs w:val="20"/>
        </w:rPr>
        <w:t xml:space="preserve"> </w:t>
      </w:r>
    </w:p>
    <w:p w14:paraId="5684E876" w14:textId="408AB600" w:rsidR="003D279A" w:rsidRPr="00A465FC" w:rsidRDefault="003D279A" w:rsidP="003D279A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>Environmental Harm</w:t>
      </w:r>
      <w:r w:rsidR="00291342" w:rsidRPr="00A465FC">
        <w:rPr>
          <w:rFonts w:cs="Times New Roman"/>
          <w:sz w:val="20"/>
          <w:szCs w:val="20"/>
        </w:rPr>
        <w:t xml:space="preserve"> – move down 2</w:t>
      </w:r>
      <w:r w:rsidR="00074426">
        <w:rPr>
          <w:rFonts w:cs="Times New Roman"/>
          <w:sz w:val="20"/>
          <w:szCs w:val="20"/>
        </w:rPr>
        <w:t xml:space="preserve"> </w:t>
      </w:r>
    </w:p>
    <w:p w14:paraId="43D6CE62" w14:textId="23382800" w:rsidR="00291342" w:rsidRPr="00A465FC" w:rsidRDefault="00291342" w:rsidP="003D279A">
      <w:pPr>
        <w:pStyle w:val="ListParagraph"/>
        <w:numPr>
          <w:ilvl w:val="0"/>
          <w:numId w:val="1"/>
        </w:numPr>
        <w:ind w:left="361"/>
        <w:rPr>
          <w:rFonts w:cs="Times New Roman"/>
          <w:sz w:val="20"/>
          <w:szCs w:val="20"/>
        </w:rPr>
      </w:pPr>
      <w:r w:rsidRPr="00A465FC">
        <w:rPr>
          <w:rFonts w:cs="Times New Roman"/>
          <w:sz w:val="20"/>
          <w:szCs w:val="20"/>
        </w:rPr>
        <w:t xml:space="preserve">Reached </w:t>
      </w:r>
      <w:r w:rsidR="005F4D08" w:rsidRPr="00A465FC">
        <w:rPr>
          <w:rFonts w:cs="Times New Roman"/>
          <w:sz w:val="20"/>
          <w:szCs w:val="20"/>
        </w:rPr>
        <w:t>S</w:t>
      </w:r>
      <w:r w:rsidRPr="00A465FC">
        <w:rPr>
          <w:rFonts w:cs="Times New Roman"/>
          <w:sz w:val="20"/>
          <w:szCs w:val="20"/>
        </w:rPr>
        <w:t xml:space="preserve">urface </w:t>
      </w:r>
      <w:r w:rsidR="005F4D08" w:rsidRPr="00A465FC">
        <w:rPr>
          <w:rFonts w:cs="Times New Roman"/>
          <w:sz w:val="20"/>
          <w:szCs w:val="20"/>
        </w:rPr>
        <w:t>W</w:t>
      </w:r>
      <w:r w:rsidRPr="00A465FC">
        <w:rPr>
          <w:rFonts w:cs="Times New Roman"/>
          <w:sz w:val="20"/>
          <w:szCs w:val="20"/>
        </w:rPr>
        <w:t>ater – move down 2</w:t>
      </w:r>
      <w:r w:rsidR="00074426">
        <w:rPr>
          <w:rFonts w:cs="Times New Roman"/>
          <w:sz w:val="20"/>
          <w:szCs w:val="20"/>
        </w:rPr>
        <w:t xml:space="preserve"> </w:t>
      </w:r>
    </w:p>
    <w:sectPr w:rsidR="00291342" w:rsidRPr="00A465FC" w:rsidSect="00822575">
      <w:type w:val="continuous"/>
      <w:pgSz w:w="12240" w:h="15840"/>
      <w:pgMar w:top="1008" w:right="1170" w:bottom="864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C67"/>
    <w:multiLevelType w:val="hybridMultilevel"/>
    <w:tmpl w:val="4E243D70"/>
    <w:lvl w:ilvl="0" w:tplc="81DAEFE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8706557"/>
    <w:multiLevelType w:val="hybridMultilevel"/>
    <w:tmpl w:val="0858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94C"/>
    <w:multiLevelType w:val="hybridMultilevel"/>
    <w:tmpl w:val="60FC35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37B8D"/>
    <w:multiLevelType w:val="hybridMultilevel"/>
    <w:tmpl w:val="DE24C3A4"/>
    <w:lvl w:ilvl="0" w:tplc="0F1610A2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A"/>
    <w:rsid w:val="00012772"/>
    <w:rsid w:val="00035DA2"/>
    <w:rsid w:val="00074426"/>
    <w:rsid w:val="000E7CE6"/>
    <w:rsid w:val="001169A8"/>
    <w:rsid w:val="00153616"/>
    <w:rsid w:val="0015501A"/>
    <w:rsid w:val="001E2895"/>
    <w:rsid w:val="001F4A33"/>
    <w:rsid w:val="00203962"/>
    <w:rsid w:val="00214EC7"/>
    <w:rsid w:val="0027126E"/>
    <w:rsid w:val="00291342"/>
    <w:rsid w:val="002C396B"/>
    <w:rsid w:val="002D531D"/>
    <w:rsid w:val="002D56D2"/>
    <w:rsid w:val="00344CF1"/>
    <w:rsid w:val="003525DC"/>
    <w:rsid w:val="00372031"/>
    <w:rsid w:val="0038661A"/>
    <w:rsid w:val="003D279A"/>
    <w:rsid w:val="00421420"/>
    <w:rsid w:val="00422908"/>
    <w:rsid w:val="0042523F"/>
    <w:rsid w:val="00440939"/>
    <w:rsid w:val="004D0C29"/>
    <w:rsid w:val="004D5077"/>
    <w:rsid w:val="005049BC"/>
    <w:rsid w:val="0051635D"/>
    <w:rsid w:val="00547C6E"/>
    <w:rsid w:val="005668B7"/>
    <w:rsid w:val="00596136"/>
    <w:rsid w:val="005A7587"/>
    <w:rsid w:val="005C6ED8"/>
    <w:rsid w:val="005F4D08"/>
    <w:rsid w:val="00616334"/>
    <w:rsid w:val="00616760"/>
    <w:rsid w:val="00623709"/>
    <w:rsid w:val="00665698"/>
    <w:rsid w:val="0068202B"/>
    <w:rsid w:val="006D4558"/>
    <w:rsid w:val="00712E03"/>
    <w:rsid w:val="007710CE"/>
    <w:rsid w:val="007F655C"/>
    <w:rsid w:val="00822575"/>
    <w:rsid w:val="00857DC6"/>
    <w:rsid w:val="008E2E6C"/>
    <w:rsid w:val="00973679"/>
    <w:rsid w:val="009C4705"/>
    <w:rsid w:val="00A36A9D"/>
    <w:rsid w:val="00A465FC"/>
    <w:rsid w:val="00A63810"/>
    <w:rsid w:val="00A90A87"/>
    <w:rsid w:val="00AA3402"/>
    <w:rsid w:val="00AE42E8"/>
    <w:rsid w:val="00B23702"/>
    <w:rsid w:val="00B74838"/>
    <w:rsid w:val="00B77A4D"/>
    <w:rsid w:val="00B81337"/>
    <w:rsid w:val="00BF2D2D"/>
    <w:rsid w:val="00C05C54"/>
    <w:rsid w:val="00C16C1E"/>
    <w:rsid w:val="00C35E60"/>
    <w:rsid w:val="00C46056"/>
    <w:rsid w:val="00C52F96"/>
    <w:rsid w:val="00CA7FF5"/>
    <w:rsid w:val="00CB667D"/>
    <w:rsid w:val="00D252CE"/>
    <w:rsid w:val="00D35BBD"/>
    <w:rsid w:val="00D70AAD"/>
    <w:rsid w:val="00D72630"/>
    <w:rsid w:val="00DA718A"/>
    <w:rsid w:val="00DC0058"/>
    <w:rsid w:val="00DD00AE"/>
    <w:rsid w:val="00E67804"/>
    <w:rsid w:val="00EE77E0"/>
    <w:rsid w:val="00F074E7"/>
    <w:rsid w:val="00F10393"/>
    <w:rsid w:val="00F36C3F"/>
    <w:rsid w:val="00F60041"/>
    <w:rsid w:val="00F801F6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C640"/>
  <w15:chartTrackingRefBased/>
  <w15:docId w15:val="{DFCC0A21-9203-4116-B917-D6EC33C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Kim</dc:creator>
  <cp:keywords/>
  <dc:description/>
  <cp:lastModifiedBy>Roughton, Laurie</cp:lastModifiedBy>
  <cp:revision>2</cp:revision>
  <dcterms:created xsi:type="dcterms:W3CDTF">2019-05-28T19:55:00Z</dcterms:created>
  <dcterms:modified xsi:type="dcterms:W3CDTF">2019-05-28T19:55:00Z</dcterms:modified>
</cp:coreProperties>
</file>