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0BB" w14:textId="13E1946A" w:rsidR="00616760" w:rsidRPr="00EA0674" w:rsidRDefault="00D01B3B" w:rsidP="00EA0674">
      <w:pPr>
        <w:tabs>
          <w:tab w:val="center" w:pos="4887"/>
          <w:tab w:val="left" w:pos="62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74">
        <w:rPr>
          <w:rFonts w:ascii="Times New Roman" w:hAnsi="Times New Roman" w:cs="Times New Roman"/>
          <w:b/>
          <w:sz w:val="24"/>
          <w:szCs w:val="24"/>
        </w:rPr>
        <w:t xml:space="preserve">Sanitary Sewer Overflow (SSO) </w:t>
      </w:r>
      <w:r w:rsidR="00D35BBD" w:rsidRPr="00EA0674">
        <w:rPr>
          <w:rFonts w:ascii="Times New Roman" w:hAnsi="Times New Roman" w:cs="Times New Roman"/>
          <w:b/>
          <w:sz w:val="24"/>
          <w:szCs w:val="24"/>
        </w:rPr>
        <w:t>Evaluation Tool</w:t>
      </w:r>
    </w:p>
    <w:p w14:paraId="04A5E0FD" w14:textId="77777777" w:rsidR="00704525" w:rsidRPr="00EA0674" w:rsidRDefault="00704525" w:rsidP="00EA0674">
      <w:pPr>
        <w:tabs>
          <w:tab w:val="center" w:pos="4887"/>
          <w:tab w:val="left" w:pos="62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FEF884" w14:textId="7693C87F" w:rsidR="00616760" w:rsidRPr="00EA0674" w:rsidRDefault="00616760" w:rsidP="00A465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F3FD3" w14:textId="5739536B" w:rsidR="00704525" w:rsidRPr="00EA0674" w:rsidRDefault="00B74838" w:rsidP="00B74838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The tool herein is intended to assist District Staff in assessing the information provided for SSOs. It </w:t>
      </w:r>
      <w:r w:rsidR="00422908" w:rsidRPr="00EA0674">
        <w:rPr>
          <w:rFonts w:ascii="Times New Roman" w:hAnsi="Times New Roman" w:cs="Times New Roman"/>
          <w:sz w:val="24"/>
          <w:szCs w:val="24"/>
        </w:rPr>
        <w:t xml:space="preserve">should </w:t>
      </w:r>
      <w:r w:rsidRPr="00EA0674">
        <w:rPr>
          <w:rFonts w:ascii="Times New Roman" w:hAnsi="Times New Roman" w:cs="Times New Roman"/>
          <w:sz w:val="24"/>
          <w:szCs w:val="24"/>
        </w:rPr>
        <w:t>provide a rational, fair and consistent method for</w:t>
      </w:r>
      <w:r w:rsidR="00422908" w:rsidRPr="00EA0674">
        <w:rPr>
          <w:rFonts w:ascii="Times New Roman" w:hAnsi="Times New Roman" w:cs="Times New Roman"/>
          <w:sz w:val="24"/>
          <w:szCs w:val="24"/>
        </w:rPr>
        <w:t xml:space="preserve"> </w:t>
      </w:r>
      <w:r w:rsidRPr="00EA0674">
        <w:rPr>
          <w:rFonts w:ascii="Times New Roman" w:hAnsi="Times New Roman" w:cs="Times New Roman"/>
          <w:sz w:val="24"/>
          <w:szCs w:val="24"/>
        </w:rPr>
        <w:t xml:space="preserve">an initial evaluation and initial recommendation to management. Although this tool is </w:t>
      </w:r>
      <w:r w:rsidR="000E7CE6" w:rsidRPr="00EA0674">
        <w:rPr>
          <w:rFonts w:ascii="Times New Roman" w:hAnsi="Times New Roman" w:cs="Times New Roman"/>
          <w:color w:val="242424"/>
          <w:sz w:val="24"/>
          <w:szCs w:val="24"/>
          <w:u w:val="single"/>
        </w:rPr>
        <w:t>not</w:t>
      </w:r>
      <w:r w:rsidRPr="00EA0674">
        <w:rPr>
          <w:rFonts w:ascii="Times New Roman" w:hAnsi="Times New Roman" w:cs="Times New Roman"/>
          <w:color w:val="242424"/>
          <w:sz w:val="24"/>
          <w:szCs w:val="24"/>
        </w:rPr>
        <w:t xml:space="preserve"> required to be utilized, it is intended to represent a consistent starting point</w:t>
      </w:r>
      <w:r w:rsidR="00422908" w:rsidRPr="00EA0674">
        <w:rPr>
          <w:rFonts w:ascii="Times New Roman" w:hAnsi="Times New Roman" w:cs="Times New Roman"/>
          <w:color w:val="242424"/>
          <w:sz w:val="24"/>
          <w:szCs w:val="24"/>
        </w:rPr>
        <w:t xml:space="preserve"> for staff and should be considered in each case</w:t>
      </w:r>
      <w:r w:rsidRPr="00EA0674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422908" w:rsidRPr="00EA0674">
        <w:rPr>
          <w:rFonts w:ascii="Times New Roman" w:hAnsi="Times New Roman" w:cs="Times New Roman"/>
          <w:color w:val="242424"/>
          <w:sz w:val="24"/>
          <w:szCs w:val="24"/>
        </w:rPr>
        <w:t>As in all cases, the District Office Assistant Director, along with the Division Deputy Director should utilize their best judgement in determining how to proceed.</w:t>
      </w:r>
    </w:p>
    <w:p w14:paraId="704081F3" w14:textId="77777777" w:rsidR="00B74838" w:rsidRPr="00EA0674" w:rsidRDefault="00B74838" w:rsidP="00B74838">
      <w:pPr>
        <w:spacing w:after="0"/>
        <w:ind w:left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674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75C634E5" w14:textId="77777777" w:rsidR="00B74838" w:rsidRPr="00EA0674" w:rsidRDefault="00B74838" w:rsidP="00B7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>Look up the initial volume of the SSO in Column A. The corresponding action in Column B is the starting point.</w:t>
      </w:r>
    </w:p>
    <w:p w14:paraId="4FE82B81" w14:textId="097E25F5" w:rsidR="00B74838" w:rsidRPr="00EA0674" w:rsidRDefault="00B74838" w:rsidP="00B7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Determine if any of the bullets </w:t>
      </w:r>
      <w:r w:rsidR="0027126E" w:rsidRPr="00EA0674">
        <w:rPr>
          <w:rFonts w:ascii="Times New Roman" w:hAnsi="Times New Roman" w:cs="Times New Roman"/>
          <w:sz w:val="24"/>
          <w:szCs w:val="24"/>
        </w:rPr>
        <w:t>below</w:t>
      </w:r>
      <w:r w:rsidRPr="00EA0674">
        <w:rPr>
          <w:rFonts w:ascii="Times New Roman" w:hAnsi="Times New Roman" w:cs="Times New Roman"/>
          <w:sz w:val="24"/>
          <w:szCs w:val="24"/>
        </w:rPr>
        <w:t xml:space="preserve"> apply; move up, down, or stay in the corresponding Column B as instructed by applicable bullets. Moves are cumulative; </w:t>
      </w:r>
      <w:r w:rsidRPr="00EA0674">
        <w:rPr>
          <w:rFonts w:ascii="Times New Roman" w:hAnsi="Times New Roman" w:cs="Times New Roman"/>
          <w:b/>
          <w:sz w:val="24"/>
          <w:szCs w:val="24"/>
        </w:rPr>
        <w:t xml:space="preserve">add all applicable moves together FIRST and then adjust </w:t>
      </w:r>
      <w:r w:rsidR="00CB667D" w:rsidRPr="00EA0674">
        <w:rPr>
          <w:rFonts w:ascii="Times New Roman" w:hAnsi="Times New Roman" w:cs="Times New Roman"/>
          <w:b/>
          <w:sz w:val="24"/>
          <w:szCs w:val="24"/>
        </w:rPr>
        <w:t>the</w:t>
      </w:r>
      <w:r w:rsidRPr="00EA0674">
        <w:rPr>
          <w:rFonts w:ascii="Times New Roman" w:hAnsi="Times New Roman" w:cs="Times New Roman"/>
          <w:b/>
          <w:sz w:val="24"/>
          <w:szCs w:val="24"/>
        </w:rPr>
        <w:t xml:space="preserve"> position on the chart</w:t>
      </w:r>
      <w:r w:rsidRPr="00EA0674">
        <w:rPr>
          <w:rFonts w:ascii="Times New Roman" w:hAnsi="Times New Roman" w:cs="Times New Roman"/>
          <w:sz w:val="24"/>
          <w:szCs w:val="24"/>
        </w:rPr>
        <w:t>. For example, if a spill is treated and reaches surface water, move down 1 on the chart (up 1 + down 2 = down 1. Adding moves together before adjusting on the chart will prevent bottoming out/up on the chart.)</w:t>
      </w:r>
    </w:p>
    <w:p w14:paraId="18D9C683" w14:textId="1CD41C4C" w:rsidR="00B74838" w:rsidRPr="00EA0674" w:rsidRDefault="00D752C8" w:rsidP="00B7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</w:t>
      </w:r>
      <w:r w:rsidR="00B74838" w:rsidRPr="00EA0674">
        <w:rPr>
          <w:rFonts w:ascii="Times New Roman" w:hAnsi="Times New Roman" w:cs="Times New Roman"/>
          <w:sz w:val="24"/>
          <w:szCs w:val="24"/>
        </w:rPr>
        <w:t xml:space="preserve">onsideration “Response, Operation &amp; Maintenance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4838" w:rsidRPr="00EA0674">
        <w:rPr>
          <w:rFonts w:ascii="Times New Roman" w:hAnsi="Times New Roman" w:cs="Times New Roman"/>
          <w:sz w:val="24"/>
          <w:szCs w:val="24"/>
        </w:rPr>
        <w:t>ctions”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23">
        <w:rPr>
          <w:rFonts w:ascii="Times New Roman" w:hAnsi="Times New Roman" w:cs="Times New Roman"/>
          <w:sz w:val="24"/>
          <w:szCs w:val="24"/>
        </w:rPr>
        <w:t xml:space="preserve">(bullet 5 below) </w:t>
      </w:r>
      <w:r>
        <w:rPr>
          <w:rFonts w:ascii="Times New Roman" w:hAnsi="Times New Roman" w:cs="Times New Roman"/>
          <w:sz w:val="24"/>
          <w:szCs w:val="24"/>
        </w:rPr>
        <w:t>to account for any recovered volumes of the spill</w:t>
      </w:r>
      <w:r w:rsidR="00B74838" w:rsidRPr="00EA0674">
        <w:rPr>
          <w:rFonts w:ascii="Times New Roman" w:hAnsi="Times New Roman" w:cs="Times New Roman"/>
          <w:sz w:val="24"/>
          <w:szCs w:val="24"/>
        </w:rPr>
        <w:t>. For example, 20,000 gallons was spilled and 15,000 of the 20,000 gallons was recovered, therefore, move up one.</w:t>
      </w:r>
    </w:p>
    <w:p w14:paraId="48993DB3" w14:textId="2ED13D8A" w:rsidR="00B74838" w:rsidRPr="00EA0674" w:rsidRDefault="00B74838" w:rsidP="00B74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Unique site-specific items and </w:t>
      </w:r>
      <w:r w:rsidR="00AC1923">
        <w:rPr>
          <w:rFonts w:ascii="Times New Roman" w:hAnsi="Times New Roman" w:cs="Times New Roman"/>
          <w:sz w:val="24"/>
          <w:szCs w:val="24"/>
        </w:rPr>
        <w:t xml:space="preserve">best professional judgement </w:t>
      </w:r>
      <w:r w:rsidRPr="00EA0674">
        <w:rPr>
          <w:rFonts w:ascii="Times New Roman" w:hAnsi="Times New Roman" w:cs="Times New Roman"/>
          <w:sz w:val="24"/>
          <w:szCs w:val="24"/>
        </w:rPr>
        <w:t xml:space="preserve">should still be </w:t>
      </w:r>
      <w:r w:rsidR="00422908" w:rsidRPr="00EA0674">
        <w:rPr>
          <w:rFonts w:ascii="Times New Roman" w:hAnsi="Times New Roman" w:cs="Times New Roman"/>
          <w:sz w:val="24"/>
          <w:szCs w:val="24"/>
        </w:rPr>
        <w:t>considered</w:t>
      </w:r>
      <w:r w:rsidRPr="00EA0674">
        <w:rPr>
          <w:rFonts w:ascii="Times New Roman" w:hAnsi="Times New Roman" w:cs="Times New Roman"/>
          <w:sz w:val="24"/>
          <w:szCs w:val="24"/>
        </w:rPr>
        <w:t xml:space="preserve">. For example, if the spill entered a wet detention pond that is not considered surface water, but the pond was full, and </w:t>
      </w:r>
      <w:r w:rsidR="0099370F">
        <w:rPr>
          <w:rFonts w:ascii="Times New Roman" w:hAnsi="Times New Roman" w:cs="Times New Roman"/>
          <w:sz w:val="24"/>
          <w:szCs w:val="24"/>
        </w:rPr>
        <w:t>discharging</w:t>
      </w:r>
      <w:r w:rsidRPr="00EA0674">
        <w:rPr>
          <w:rFonts w:ascii="Times New Roman" w:hAnsi="Times New Roman" w:cs="Times New Roman"/>
          <w:sz w:val="24"/>
          <w:szCs w:val="24"/>
        </w:rPr>
        <w:t>; discuss with management and determine if moving down Column B is appropriate.</w:t>
      </w:r>
    </w:p>
    <w:p w14:paraId="683E4134" w14:textId="77777777" w:rsidR="00EA0674" w:rsidRDefault="00EA0674" w:rsidP="00D01B3B">
      <w:pPr>
        <w:rPr>
          <w:rFonts w:ascii="Times New Roman" w:hAnsi="Times New Roman" w:cs="Times New Roman"/>
          <w:sz w:val="24"/>
          <w:szCs w:val="24"/>
        </w:rPr>
        <w:sectPr w:rsidR="00EA0674" w:rsidSect="002244B1">
          <w:headerReference w:type="default" r:id="rId11"/>
          <w:footerReference w:type="default" r:id="rId12"/>
          <w:footerReference w:type="first" r:id="rId13"/>
          <w:pgSz w:w="12240" w:h="15840"/>
          <w:pgMar w:top="1008" w:right="1170" w:bottom="864" w:left="1296" w:header="720" w:footer="720" w:gutter="0"/>
          <w:cols w:space="720"/>
          <w:titlePg/>
          <w:docGrid w:linePitch="360"/>
        </w:sectPr>
      </w:pPr>
    </w:p>
    <w:p w14:paraId="058B40C2" w14:textId="77777777" w:rsidR="00EA0674" w:rsidRDefault="00EA0674" w:rsidP="00D01B3B">
      <w:pPr>
        <w:rPr>
          <w:rFonts w:ascii="Times New Roman" w:hAnsi="Times New Roman" w:cs="Times New Roman"/>
          <w:sz w:val="24"/>
          <w:szCs w:val="24"/>
        </w:rPr>
        <w:sectPr w:rsidR="00EA0674" w:rsidSect="00EA0674">
          <w:type w:val="continuous"/>
          <w:pgSz w:w="12240" w:h="15840"/>
          <w:pgMar w:top="1008" w:right="1170" w:bottom="864" w:left="1296" w:header="720" w:footer="720" w:gutter="0"/>
          <w:cols w:num="2" w:space="720"/>
          <w:docGrid w:linePitch="360"/>
        </w:sectPr>
      </w:pPr>
    </w:p>
    <w:tbl>
      <w:tblPr>
        <w:tblStyle w:val="TableGrid"/>
        <w:tblW w:w="4860" w:type="dxa"/>
        <w:tblInd w:w="-5" w:type="dxa"/>
        <w:tblLook w:val="04A0" w:firstRow="1" w:lastRow="0" w:firstColumn="1" w:lastColumn="0" w:noHBand="0" w:noVBand="1"/>
      </w:tblPr>
      <w:tblGrid>
        <w:gridCol w:w="1877"/>
        <w:gridCol w:w="2983"/>
      </w:tblGrid>
      <w:tr w:rsidR="00EA0674" w:rsidRPr="00A465FC" w14:paraId="2DC5D7E1" w14:textId="77777777" w:rsidTr="00477398">
        <w:tc>
          <w:tcPr>
            <w:tcW w:w="1877" w:type="dxa"/>
          </w:tcPr>
          <w:p w14:paraId="149C485A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b/>
                <w:sz w:val="20"/>
                <w:szCs w:val="20"/>
              </w:rPr>
              <w:t>Column A:</w:t>
            </w:r>
          </w:p>
          <w:p w14:paraId="4A905207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Initial Spill Volume</w:t>
            </w:r>
          </w:p>
          <w:p w14:paraId="1DA7AC43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(gallons)</w:t>
            </w:r>
          </w:p>
          <w:p w14:paraId="44885863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3DB3A3D5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b/>
                <w:sz w:val="20"/>
                <w:szCs w:val="20"/>
              </w:rPr>
              <w:t>Column B:</w:t>
            </w:r>
          </w:p>
          <w:p w14:paraId="2FA1025D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Starting point actions by DEP staff</w:t>
            </w:r>
          </w:p>
          <w:p w14:paraId="4EE47769" w14:textId="77777777" w:rsidR="00EA0674" w:rsidRPr="00477398" w:rsidRDefault="00EA0674" w:rsidP="0047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(See instructions above.)</w:t>
            </w:r>
          </w:p>
        </w:tc>
      </w:tr>
      <w:tr w:rsidR="00EA0674" w:rsidRPr="00A465FC" w14:paraId="0570032E" w14:textId="77777777" w:rsidTr="00477398">
        <w:tc>
          <w:tcPr>
            <w:tcW w:w="1877" w:type="dxa"/>
            <w:shd w:val="clear" w:color="auto" w:fill="B4C6E7" w:themeFill="accent1" w:themeFillTint="66"/>
          </w:tcPr>
          <w:p w14:paraId="19F79953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B4C6E7" w:themeFill="accent1" w:themeFillTint="66"/>
          </w:tcPr>
          <w:p w14:paraId="4AC1BCAD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74" w:rsidRPr="00A465FC" w14:paraId="7A4A3B00" w14:textId="77777777" w:rsidTr="00477398">
        <w:tc>
          <w:tcPr>
            <w:tcW w:w="1877" w:type="dxa"/>
          </w:tcPr>
          <w:p w14:paraId="3536B661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1 – 1,000</w:t>
            </w:r>
          </w:p>
        </w:tc>
        <w:tc>
          <w:tcPr>
            <w:tcW w:w="2983" w:type="dxa"/>
          </w:tcPr>
          <w:p w14:paraId="0EFF89B3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Review 5-day report</w:t>
            </w:r>
          </w:p>
          <w:p w14:paraId="7C523F10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Memo to file</w:t>
            </w:r>
          </w:p>
        </w:tc>
      </w:tr>
      <w:tr w:rsidR="00EA0674" w:rsidRPr="00A465FC" w14:paraId="73A39ED9" w14:textId="77777777" w:rsidTr="00477398">
        <w:tc>
          <w:tcPr>
            <w:tcW w:w="1877" w:type="dxa"/>
          </w:tcPr>
          <w:p w14:paraId="0CC66850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1,001 – 10,000</w:t>
            </w:r>
          </w:p>
        </w:tc>
        <w:tc>
          <w:tcPr>
            <w:tcW w:w="2983" w:type="dxa"/>
          </w:tcPr>
          <w:p w14:paraId="329C7B89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Review 5-day report</w:t>
            </w:r>
          </w:p>
          <w:p w14:paraId="383C12A2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Memo to file</w:t>
            </w:r>
          </w:p>
        </w:tc>
      </w:tr>
      <w:tr w:rsidR="00EA0674" w:rsidRPr="00A465FC" w14:paraId="11FAF3E7" w14:textId="77777777" w:rsidTr="00477398">
        <w:tc>
          <w:tcPr>
            <w:tcW w:w="1877" w:type="dxa"/>
          </w:tcPr>
          <w:p w14:paraId="6711EE67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10,001 – 100,000</w:t>
            </w:r>
          </w:p>
        </w:tc>
        <w:tc>
          <w:tcPr>
            <w:tcW w:w="2983" w:type="dxa"/>
          </w:tcPr>
          <w:p w14:paraId="35F3E41F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Review 5-day report</w:t>
            </w:r>
          </w:p>
          <w:p w14:paraId="68835905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</w:p>
        </w:tc>
      </w:tr>
      <w:tr w:rsidR="00EA0674" w:rsidRPr="00A465FC" w14:paraId="7D31A1AE" w14:textId="77777777" w:rsidTr="00477398">
        <w:tc>
          <w:tcPr>
            <w:tcW w:w="1877" w:type="dxa"/>
          </w:tcPr>
          <w:p w14:paraId="636BABA6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100,001 +</w:t>
            </w:r>
          </w:p>
        </w:tc>
        <w:tc>
          <w:tcPr>
            <w:tcW w:w="2983" w:type="dxa"/>
          </w:tcPr>
          <w:p w14:paraId="34A4EB21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Review 5-day report</w:t>
            </w:r>
          </w:p>
          <w:p w14:paraId="35DD1313" w14:textId="77777777" w:rsidR="00EA0674" w:rsidRPr="00477398" w:rsidRDefault="00EA0674" w:rsidP="0047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8">
              <w:rPr>
                <w:rFonts w:ascii="Times New Roman" w:hAnsi="Times New Roman" w:cs="Times New Roman"/>
                <w:sz w:val="20"/>
                <w:szCs w:val="20"/>
              </w:rPr>
              <w:t>WL (possible enforcement actions)</w:t>
            </w:r>
          </w:p>
        </w:tc>
      </w:tr>
    </w:tbl>
    <w:p w14:paraId="31E96D5E" w14:textId="741491FC" w:rsidR="00D01B3B" w:rsidRDefault="00EA0674" w:rsidP="00D01B3B">
      <w:pPr>
        <w:rPr>
          <w:rFonts w:ascii="Times New Roman" w:hAnsi="Times New Roman" w:cs="Times New Roman"/>
          <w:sz w:val="24"/>
          <w:szCs w:val="24"/>
        </w:rPr>
      </w:pPr>
      <w:r w:rsidRPr="00A465FC">
        <w:rPr>
          <w:rFonts w:cs="Times New Roman"/>
          <w:sz w:val="20"/>
          <w:szCs w:val="20"/>
        </w:rPr>
        <w:tab/>
      </w:r>
      <w:r w:rsidRPr="00A465FC">
        <w:rPr>
          <w:rFonts w:cs="Times New Roman"/>
          <w:sz w:val="20"/>
          <w:szCs w:val="20"/>
        </w:rPr>
        <w:tab/>
      </w:r>
      <w:r w:rsidRPr="00A465FC">
        <w:rPr>
          <w:rFonts w:cs="Times New Roman"/>
          <w:sz w:val="20"/>
          <w:szCs w:val="20"/>
        </w:rPr>
        <w:tab/>
      </w:r>
    </w:p>
    <w:p w14:paraId="63C8DAD4" w14:textId="2B7FD7F9" w:rsidR="00D01B3B" w:rsidRDefault="00D01B3B" w:rsidP="00D01B3B">
      <w:pPr>
        <w:rPr>
          <w:rFonts w:ascii="Times New Roman" w:hAnsi="Times New Roman" w:cs="Times New Roman"/>
          <w:sz w:val="24"/>
          <w:szCs w:val="24"/>
        </w:rPr>
      </w:pPr>
    </w:p>
    <w:p w14:paraId="1105226A" w14:textId="77777777" w:rsidR="00EA0674" w:rsidRDefault="00EA0674" w:rsidP="00EA067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72ACFDA" w14:textId="77777777" w:rsidR="00EA0674" w:rsidRDefault="00EA0674" w:rsidP="00EA067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B0C138" w14:textId="5EB5231B" w:rsidR="00EA0674" w:rsidRPr="00EA0674" w:rsidRDefault="00EA0674" w:rsidP="00EA067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0674">
        <w:rPr>
          <w:rFonts w:ascii="Times New Roman" w:hAnsi="Times New Roman" w:cs="Times New Roman"/>
          <w:b/>
          <w:sz w:val="20"/>
          <w:szCs w:val="20"/>
          <w:u w:val="single"/>
        </w:rPr>
        <w:t>Consider</w:t>
      </w:r>
      <w:r w:rsidR="00D752C8">
        <w:rPr>
          <w:rFonts w:ascii="Times New Roman" w:hAnsi="Times New Roman" w:cs="Times New Roman"/>
          <w:b/>
          <w:sz w:val="20"/>
          <w:szCs w:val="20"/>
          <w:u w:val="single"/>
        </w:rPr>
        <w:t>ations</w:t>
      </w:r>
      <w:r w:rsidRPr="00EA0674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moving up or down column B: </w:t>
      </w:r>
    </w:p>
    <w:p w14:paraId="33F1605B" w14:textId="77777777" w:rsidR="00EA0674" w:rsidRPr="00EA0674" w:rsidRDefault="00EA0674" w:rsidP="00EA0674">
      <w:pPr>
        <w:pStyle w:val="ListParagraph"/>
        <w:numPr>
          <w:ilvl w:val="0"/>
          <w:numId w:val="1"/>
        </w:numPr>
        <w:spacing w:after="0"/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Chronic Spills – move down 1 </w:t>
      </w:r>
    </w:p>
    <w:p w14:paraId="4E0A42D2" w14:textId="77777777" w:rsidR="00EA0674" w:rsidRPr="00EA0674" w:rsidRDefault="00EA0674" w:rsidP="00EA0674">
      <w:pPr>
        <w:spacing w:after="0"/>
        <w:ind w:left="361"/>
        <w:rPr>
          <w:rFonts w:ascii="Times New Roman" w:hAnsi="Times New Roman" w:cs="Times New Roman"/>
          <w:b/>
          <w:sz w:val="18"/>
          <w:szCs w:val="18"/>
        </w:rPr>
      </w:pPr>
      <w:r w:rsidRPr="00EA0674">
        <w:rPr>
          <w:rFonts w:ascii="Times New Roman" w:hAnsi="Times New Roman" w:cs="Times New Roman"/>
          <w:sz w:val="18"/>
          <w:szCs w:val="18"/>
        </w:rPr>
        <w:t>(Note: ‘chronic’ is 2 or more spills in a 12-month period from the same location or &gt;6 spills per 100 miles of collection system piping, per Brad Ammons, U.S. EPA.)</w:t>
      </w:r>
    </w:p>
    <w:p w14:paraId="7AB2623B" w14:textId="6D29CD51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Treated or Reuse </w:t>
      </w:r>
      <w:r w:rsidR="00D752C8">
        <w:rPr>
          <w:rFonts w:ascii="Times New Roman" w:hAnsi="Times New Roman" w:cs="Times New Roman"/>
          <w:sz w:val="20"/>
          <w:szCs w:val="20"/>
        </w:rPr>
        <w:t>S</w:t>
      </w:r>
      <w:r w:rsidRPr="00EA0674">
        <w:rPr>
          <w:rFonts w:ascii="Times New Roman" w:hAnsi="Times New Roman" w:cs="Times New Roman"/>
          <w:sz w:val="20"/>
          <w:szCs w:val="20"/>
        </w:rPr>
        <w:t>pill – move up 1</w:t>
      </w:r>
    </w:p>
    <w:p w14:paraId="286F5983" w14:textId="77777777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Partially Treated – stay </w:t>
      </w:r>
    </w:p>
    <w:p w14:paraId="52C9B59B" w14:textId="77777777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Untreated – move down 1 </w:t>
      </w:r>
    </w:p>
    <w:p w14:paraId="1F48CBEF" w14:textId="77B68699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Response, Operation &amp; Maintenance </w:t>
      </w:r>
      <w:r w:rsidR="00D752C8">
        <w:rPr>
          <w:rFonts w:ascii="Times New Roman" w:hAnsi="Times New Roman" w:cs="Times New Roman"/>
          <w:sz w:val="20"/>
          <w:szCs w:val="20"/>
        </w:rPr>
        <w:t>A</w:t>
      </w:r>
      <w:r w:rsidRPr="00EA0674">
        <w:rPr>
          <w:rFonts w:ascii="Times New Roman" w:hAnsi="Times New Roman" w:cs="Times New Roman"/>
          <w:sz w:val="20"/>
          <w:szCs w:val="20"/>
        </w:rPr>
        <w:t xml:space="preserve">ctions – poor = move down 1, good = move up 1 </w:t>
      </w:r>
    </w:p>
    <w:p w14:paraId="46C45462" w14:textId="77777777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Environmental Harm – move down 2 </w:t>
      </w:r>
    </w:p>
    <w:p w14:paraId="74E61528" w14:textId="77777777" w:rsidR="00EA0674" w:rsidRPr="00EA0674" w:rsidRDefault="00EA0674" w:rsidP="00EA0674">
      <w:pPr>
        <w:pStyle w:val="ListParagraph"/>
        <w:numPr>
          <w:ilvl w:val="0"/>
          <w:numId w:val="1"/>
        </w:numPr>
        <w:ind w:left="361"/>
        <w:rPr>
          <w:rFonts w:ascii="Times New Roman" w:hAnsi="Times New Roman" w:cs="Times New Roman"/>
          <w:sz w:val="20"/>
          <w:szCs w:val="20"/>
        </w:rPr>
      </w:pPr>
      <w:r w:rsidRPr="00EA0674">
        <w:rPr>
          <w:rFonts w:ascii="Times New Roman" w:hAnsi="Times New Roman" w:cs="Times New Roman"/>
          <w:sz w:val="20"/>
          <w:szCs w:val="20"/>
        </w:rPr>
        <w:t xml:space="preserve">Reached Surface Water – move down 2 </w:t>
      </w:r>
    </w:p>
    <w:p w14:paraId="628D46F1" w14:textId="60E7836F" w:rsidR="00D01B3B" w:rsidRDefault="00D01B3B" w:rsidP="00D01B3B">
      <w:pPr>
        <w:rPr>
          <w:rFonts w:ascii="Times New Roman" w:hAnsi="Times New Roman" w:cs="Times New Roman"/>
          <w:sz w:val="24"/>
          <w:szCs w:val="24"/>
        </w:rPr>
      </w:pPr>
    </w:p>
    <w:p w14:paraId="2CAA2B24" w14:textId="4A3FF804" w:rsidR="00D01B3B" w:rsidRDefault="00D01B3B" w:rsidP="00D01B3B">
      <w:pPr>
        <w:rPr>
          <w:rFonts w:ascii="Times New Roman" w:hAnsi="Times New Roman" w:cs="Times New Roman"/>
          <w:sz w:val="24"/>
          <w:szCs w:val="24"/>
        </w:rPr>
      </w:pPr>
    </w:p>
    <w:p w14:paraId="131A8B5F" w14:textId="7C616DC9" w:rsidR="00EA0674" w:rsidRDefault="00EA0674" w:rsidP="00D01B3B">
      <w:pPr>
        <w:rPr>
          <w:rFonts w:ascii="Times New Roman" w:hAnsi="Times New Roman" w:cs="Times New Roman"/>
          <w:sz w:val="24"/>
          <w:szCs w:val="24"/>
        </w:rPr>
      </w:pPr>
    </w:p>
    <w:p w14:paraId="40BDB3A7" w14:textId="48A1DC6B" w:rsidR="00EA0674" w:rsidRDefault="00EA0674" w:rsidP="00D01B3B">
      <w:pPr>
        <w:rPr>
          <w:rFonts w:ascii="Times New Roman" w:hAnsi="Times New Roman" w:cs="Times New Roman"/>
          <w:sz w:val="24"/>
          <w:szCs w:val="24"/>
        </w:rPr>
      </w:pPr>
    </w:p>
    <w:p w14:paraId="32FA5008" w14:textId="77777777" w:rsidR="00EA0674" w:rsidRDefault="00EA0674">
      <w:pPr>
        <w:rPr>
          <w:rFonts w:ascii="Times New Roman" w:hAnsi="Times New Roman" w:cs="Times New Roman"/>
          <w:sz w:val="24"/>
          <w:szCs w:val="24"/>
        </w:rPr>
        <w:sectPr w:rsidR="00EA0674" w:rsidSect="00EA0674">
          <w:type w:val="continuous"/>
          <w:pgSz w:w="12240" w:h="15840"/>
          <w:pgMar w:top="1008" w:right="1170" w:bottom="864" w:left="1296" w:header="720" w:footer="720" w:gutter="0"/>
          <w:cols w:num="2" w:space="720"/>
          <w:docGrid w:linePitch="360"/>
        </w:sectPr>
      </w:pPr>
    </w:p>
    <w:p w14:paraId="38311011" w14:textId="72AB5C21" w:rsidR="00D01B3B" w:rsidRPr="00EA0674" w:rsidRDefault="00D01B3B" w:rsidP="00EA0674">
      <w:pPr>
        <w:rPr>
          <w:rFonts w:ascii="Times New Roman" w:hAnsi="Times New Roman" w:cs="Times New Roman"/>
          <w:sz w:val="24"/>
          <w:szCs w:val="24"/>
        </w:rPr>
      </w:pPr>
    </w:p>
    <w:p w14:paraId="2B80F9FE" w14:textId="77777777" w:rsidR="00D752C8" w:rsidRDefault="00D752C8" w:rsidP="004746C0">
      <w:pPr>
        <w:pStyle w:val="ListParagraph"/>
        <w:spacing w:after="0"/>
        <w:ind w:left="361"/>
        <w:rPr>
          <w:rFonts w:ascii="Times New Roman" w:hAnsi="Times New Roman" w:cs="Times New Roman"/>
          <w:sz w:val="24"/>
          <w:szCs w:val="24"/>
        </w:rPr>
      </w:pPr>
    </w:p>
    <w:p w14:paraId="0E034BEF" w14:textId="77777777" w:rsidR="00D752C8" w:rsidRDefault="00D752C8" w:rsidP="00D75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lastRenderedPageBreak/>
        <w:t xml:space="preserve">Other items such as water body classification, good faith, failure to sample, water quality violation, compliance history should be considered in the penalty calculation, as applicable. </w:t>
      </w:r>
    </w:p>
    <w:p w14:paraId="7F0385B0" w14:textId="021CA861" w:rsidR="00203962" w:rsidRPr="00EA0674" w:rsidRDefault="00203962" w:rsidP="002039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>The possible initial responses are coded in the database as follows:</w:t>
      </w:r>
    </w:p>
    <w:p w14:paraId="452CA933" w14:textId="207440E5" w:rsidR="00203962" w:rsidRPr="00EA0674" w:rsidRDefault="00203962" w:rsidP="002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Memo to file: </w:t>
      </w:r>
      <w:r w:rsidR="00507ED3" w:rsidRPr="00EA0674">
        <w:rPr>
          <w:rFonts w:ascii="Times New Roman" w:hAnsi="Times New Roman" w:cs="Times New Roman"/>
          <w:sz w:val="24"/>
          <w:szCs w:val="24"/>
        </w:rPr>
        <w:t>Necessary spill information received and reviewed</w:t>
      </w:r>
      <w:r w:rsidR="00FD63E1">
        <w:rPr>
          <w:rFonts w:ascii="Times New Roman" w:hAnsi="Times New Roman" w:cs="Times New Roman"/>
          <w:sz w:val="24"/>
          <w:szCs w:val="24"/>
        </w:rPr>
        <w:t>.</w:t>
      </w:r>
      <w:r w:rsidRPr="00EA0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3D188" w14:textId="7F9063CC" w:rsidR="00203962" w:rsidRPr="00EA0674" w:rsidRDefault="00203962" w:rsidP="00203962">
      <w:pPr>
        <w:pStyle w:val="ListParagraph"/>
        <w:numPr>
          <w:ilvl w:val="2"/>
          <w:numId w:val="4"/>
        </w:numPr>
        <w:ind w:left="1530" w:hanging="90"/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SRVC: Submittal Received by Department </w:t>
      </w:r>
      <w:r w:rsidR="00513DB3">
        <w:rPr>
          <w:rFonts w:ascii="Times New Roman" w:hAnsi="Times New Roman" w:cs="Times New Roman"/>
          <w:sz w:val="24"/>
          <w:szCs w:val="24"/>
        </w:rPr>
        <w:t>–</w:t>
      </w:r>
      <w:r w:rsidRPr="00EA0674">
        <w:rPr>
          <w:rFonts w:ascii="Times New Roman" w:hAnsi="Times New Roman" w:cs="Times New Roman"/>
          <w:sz w:val="24"/>
          <w:szCs w:val="24"/>
        </w:rPr>
        <w:t xml:space="preserve"> </w:t>
      </w:r>
      <w:r w:rsidR="00513DB3">
        <w:rPr>
          <w:rFonts w:ascii="Times New Roman" w:hAnsi="Times New Roman" w:cs="Times New Roman"/>
          <w:sz w:val="24"/>
          <w:szCs w:val="24"/>
        </w:rPr>
        <w:t xml:space="preserve">Document receipt and review of submittal using the </w:t>
      </w:r>
      <w:r w:rsidR="00E6590F" w:rsidRPr="00EA0674">
        <w:rPr>
          <w:rFonts w:ascii="Times New Roman" w:hAnsi="Times New Roman" w:cs="Times New Roman"/>
          <w:sz w:val="24"/>
          <w:szCs w:val="24"/>
        </w:rPr>
        <w:t>Memo to File for Sanitary Sewer Overflows/Unauthorized Discharge</w:t>
      </w:r>
      <w:r w:rsidRPr="00EA0674">
        <w:rPr>
          <w:rFonts w:ascii="Times New Roman" w:hAnsi="Times New Roman" w:cs="Times New Roman"/>
          <w:sz w:val="24"/>
          <w:szCs w:val="24"/>
        </w:rPr>
        <w:t>.</w:t>
      </w:r>
    </w:p>
    <w:p w14:paraId="3216138A" w14:textId="616F76D2" w:rsidR="00431173" w:rsidRPr="00EA0674" w:rsidRDefault="00431173" w:rsidP="002039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 xml:space="preserve">Compliance Assistance or Enforcement: </w:t>
      </w:r>
      <w:r w:rsidR="00507ED3" w:rsidRPr="00EA0674">
        <w:rPr>
          <w:rFonts w:ascii="Times New Roman" w:hAnsi="Times New Roman" w:cs="Times New Roman"/>
          <w:sz w:val="24"/>
          <w:szCs w:val="24"/>
        </w:rPr>
        <w:t>Follow-up actions needed</w:t>
      </w:r>
      <w:r w:rsidR="003260E6" w:rsidRPr="00EA0674">
        <w:rPr>
          <w:rFonts w:ascii="Times New Roman" w:hAnsi="Times New Roman" w:cs="Times New Roman"/>
          <w:sz w:val="24"/>
          <w:szCs w:val="24"/>
        </w:rPr>
        <w:t xml:space="preserve">. After response from facility, </w:t>
      </w:r>
      <w:r w:rsidR="0099370F">
        <w:rPr>
          <w:rFonts w:ascii="Times New Roman" w:hAnsi="Times New Roman" w:cs="Times New Roman"/>
          <w:sz w:val="24"/>
          <w:szCs w:val="24"/>
        </w:rPr>
        <w:t>document</w:t>
      </w:r>
      <w:r w:rsidR="0099370F" w:rsidRPr="00EA0674">
        <w:rPr>
          <w:rFonts w:ascii="Times New Roman" w:hAnsi="Times New Roman" w:cs="Times New Roman"/>
          <w:sz w:val="24"/>
          <w:szCs w:val="24"/>
        </w:rPr>
        <w:t xml:space="preserve"> </w:t>
      </w:r>
      <w:r w:rsidR="0099370F">
        <w:rPr>
          <w:rFonts w:ascii="Times New Roman" w:hAnsi="Times New Roman" w:cs="Times New Roman"/>
          <w:sz w:val="24"/>
          <w:szCs w:val="24"/>
        </w:rPr>
        <w:t xml:space="preserve">either </w:t>
      </w:r>
      <w:r w:rsidR="003260E6" w:rsidRPr="00EA0674">
        <w:rPr>
          <w:rFonts w:ascii="Times New Roman" w:hAnsi="Times New Roman" w:cs="Times New Roman"/>
          <w:sz w:val="24"/>
          <w:szCs w:val="24"/>
        </w:rPr>
        <w:t xml:space="preserve">formal enforcement (e.g., COE) </w:t>
      </w:r>
      <w:r w:rsidR="003260E6" w:rsidRPr="00EA0674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3260E6" w:rsidRPr="00EA0674">
        <w:rPr>
          <w:rFonts w:ascii="Times New Roman" w:hAnsi="Times New Roman" w:cs="Times New Roman"/>
          <w:sz w:val="24"/>
          <w:szCs w:val="24"/>
        </w:rPr>
        <w:t xml:space="preserve"> No Further Action (NFA)*</w:t>
      </w:r>
      <w:r w:rsidR="00FD63E1">
        <w:rPr>
          <w:rFonts w:ascii="Times New Roman" w:hAnsi="Times New Roman" w:cs="Times New Roman"/>
          <w:sz w:val="24"/>
          <w:szCs w:val="24"/>
        </w:rPr>
        <w:t>.</w:t>
      </w:r>
    </w:p>
    <w:p w14:paraId="47EA7E1A" w14:textId="6DF01F0B" w:rsidR="003260E6" w:rsidRPr="00EA0674" w:rsidRDefault="00203962" w:rsidP="002244B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>CAO – Verbal: OCA</w:t>
      </w:r>
    </w:p>
    <w:p w14:paraId="70230F8D" w14:textId="6EAFC3F6" w:rsidR="00E6590F" w:rsidRPr="00EA0674" w:rsidRDefault="00203962" w:rsidP="002244B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>CAO – Written: NCLI</w:t>
      </w:r>
    </w:p>
    <w:p w14:paraId="3F857C6F" w14:textId="4CBC5F9A" w:rsidR="00203962" w:rsidRPr="00EA0674" w:rsidRDefault="00203962" w:rsidP="0043117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674">
        <w:rPr>
          <w:rFonts w:ascii="Times New Roman" w:hAnsi="Times New Roman" w:cs="Times New Roman"/>
          <w:sz w:val="24"/>
          <w:szCs w:val="24"/>
        </w:rPr>
        <w:t>WL: WLI</w:t>
      </w:r>
    </w:p>
    <w:p w14:paraId="71AC86F6" w14:textId="6C82AA9D" w:rsidR="003260E6" w:rsidRPr="00EA0674" w:rsidRDefault="003260E6" w:rsidP="003260E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674">
        <w:rPr>
          <w:rFonts w:ascii="Times New Roman" w:hAnsi="Times New Roman" w:cs="Times New Roman"/>
          <w:sz w:val="24"/>
          <w:szCs w:val="24"/>
        </w:rPr>
        <w:t xml:space="preserve">* </w:t>
      </w:r>
      <w:r w:rsidR="00704525" w:rsidRPr="00EA0674">
        <w:rPr>
          <w:rFonts w:ascii="Times New Roman" w:hAnsi="Times New Roman" w:cs="Times New Roman"/>
          <w:sz w:val="24"/>
          <w:szCs w:val="24"/>
        </w:rPr>
        <w:t>NFA</w:t>
      </w:r>
      <w:r w:rsidRPr="00EA0674">
        <w:rPr>
          <w:rFonts w:ascii="Times New Roman" w:hAnsi="Times New Roman" w:cs="Times New Roman"/>
          <w:sz w:val="24"/>
          <w:szCs w:val="24"/>
        </w:rPr>
        <w:t xml:space="preserve"> should be coded into the database when compliance assistance (OCA or NCLI) or informal enforcement (WLI) was performed and further enforcement is not pursued at that time. Within the </w:t>
      </w:r>
      <w:r w:rsidRPr="00EA0674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="00704525" w:rsidRPr="00EA06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A0674">
        <w:rPr>
          <w:rFonts w:ascii="Times New Roman" w:hAnsi="Times New Roman" w:cs="Times New Roman"/>
          <w:i/>
          <w:iCs/>
          <w:sz w:val="24"/>
          <w:szCs w:val="24"/>
        </w:rPr>
        <w:t xml:space="preserve"> Preparation</w:t>
      </w:r>
      <w:r w:rsidR="00704525" w:rsidRPr="00EA06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4525" w:rsidRPr="00EA0674">
        <w:rPr>
          <w:rFonts w:ascii="Times New Roman" w:hAnsi="Times New Roman" w:cs="Times New Roman"/>
          <w:sz w:val="24"/>
          <w:szCs w:val="24"/>
        </w:rPr>
        <w:t>Field</w:t>
      </w:r>
      <w:r w:rsidRPr="00EA0674">
        <w:rPr>
          <w:rFonts w:ascii="Times New Roman" w:hAnsi="Times New Roman" w:cs="Times New Roman"/>
          <w:sz w:val="24"/>
          <w:szCs w:val="24"/>
        </w:rPr>
        <w:t>, include “Although DEP is not initiating formal enforcement at this time, this NFA does not preclude this spill from further action in the future.”</w:t>
      </w:r>
    </w:p>
    <w:p w14:paraId="0E69AB59" w14:textId="275F96B4" w:rsidR="00822575" w:rsidRPr="002244B1" w:rsidRDefault="00CA7FF5" w:rsidP="00B74838">
      <w:pPr>
        <w:pStyle w:val="ListParagraph"/>
        <w:numPr>
          <w:ilvl w:val="0"/>
          <w:numId w:val="2"/>
        </w:numPr>
        <w:rPr>
          <w:rFonts w:ascii="Book Antiqua" w:hAnsi="Book Antiqua" w:cs="Times New Roman"/>
        </w:rPr>
        <w:sectPr w:rsidR="00822575" w:rsidRPr="002244B1" w:rsidSect="00EA0674">
          <w:type w:val="continuous"/>
          <w:pgSz w:w="12240" w:h="15840"/>
          <w:pgMar w:top="1008" w:right="1170" w:bottom="864" w:left="1296" w:header="720" w:footer="720" w:gutter="0"/>
          <w:cols w:space="720"/>
          <w:docGrid w:linePitch="360"/>
        </w:sectPr>
      </w:pPr>
      <w:r w:rsidRPr="00EA0674">
        <w:rPr>
          <w:rFonts w:ascii="Times New Roman" w:hAnsi="Times New Roman" w:cs="Times New Roman"/>
          <w:sz w:val="24"/>
          <w:szCs w:val="24"/>
        </w:rPr>
        <w:t>All initial response</w:t>
      </w:r>
      <w:r w:rsidR="00704525" w:rsidRPr="00EA0674">
        <w:rPr>
          <w:rFonts w:ascii="Times New Roman" w:hAnsi="Times New Roman" w:cs="Times New Roman"/>
          <w:sz w:val="24"/>
          <w:szCs w:val="24"/>
        </w:rPr>
        <w:t>s</w:t>
      </w:r>
      <w:r w:rsidRPr="00EA0674">
        <w:rPr>
          <w:rFonts w:ascii="Times New Roman" w:hAnsi="Times New Roman" w:cs="Times New Roman"/>
          <w:sz w:val="24"/>
          <w:szCs w:val="24"/>
        </w:rPr>
        <w:t xml:space="preserve"> must be documented and filed in Oculus for the applicable facility under Enforcement/Legal.</w:t>
      </w:r>
      <w:r w:rsidRPr="002244B1">
        <w:rPr>
          <w:rFonts w:ascii="Book Antiqua" w:hAnsi="Book Antiqua" w:cs="Times New Roman"/>
        </w:rPr>
        <w:t xml:space="preserve"> </w:t>
      </w:r>
    </w:p>
    <w:p w14:paraId="0F182E1B" w14:textId="1925392E" w:rsidR="00704525" w:rsidRDefault="00704525" w:rsidP="002244B1">
      <w:pPr>
        <w:rPr>
          <w:rFonts w:cs="Times New Roman"/>
          <w:b/>
          <w:sz w:val="20"/>
          <w:szCs w:val="20"/>
        </w:rPr>
      </w:pPr>
    </w:p>
    <w:p w14:paraId="796CD1CD" w14:textId="7E3184B0" w:rsidR="00822575" w:rsidRPr="002244B1" w:rsidRDefault="00822575">
      <w:pPr>
        <w:spacing w:after="0"/>
        <w:rPr>
          <w:rFonts w:cs="Times New Roman"/>
          <w:b/>
          <w:sz w:val="20"/>
          <w:szCs w:val="20"/>
          <w:u w:val="single"/>
        </w:rPr>
      </w:pPr>
    </w:p>
    <w:p w14:paraId="51DF163B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1142CF7B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68B834E8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10FBE3BF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44E6F2E3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199DD82A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111B511C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7A52BE4D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7A43E544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5B0B1668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45CAB18F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0B544E12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0C4BE5BE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20FFA0C5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3FB86C48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3698816D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79FA40E8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5573E714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4B9FBC79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219486E5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76DF1EF3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42542E28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4A003973" w14:textId="77777777" w:rsidR="00704525" w:rsidRDefault="00704525" w:rsidP="00A465FC">
      <w:pPr>
        <w:spacing w:after="0"/>
        <w:rPr>
          <w:rFonts w:ascii="Book Antiqua" w:hAnsi="Book Antiqua" w:cs="Times New Roman"/>
          <w:b/>
          <w:sz w:val="20"/>
          <w:szCs w:val="20"/>
          <w:u w:val="single"/>
        </w:rPr>
      </w:pPr>
    </w:p>
    <w:p w14:paraId="1BAC9B9F" w14:textId="77777777" w:rsidR="00D01B3B" w:rsidRDefault="00D01B3B" w:rsidP="00A465F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D6CE62" w14:textId="0F800C39" w:rsidR="00291342" w:rsidRPr="002244B1" w:rsidRDefault="00074426" w:rsidP="00EA0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44B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1342" w:rsidRPr="002244B1" w:rsidSect="00822575">
      <w:headerReference w:type="default" r:id="rId14"/>
      <w:footerReference w:type="default" r:id="rId15"/>
      <w:type w:val="continuous"/>
      <w:pgSz w:w="12240" w:h="15840"/>
      <w:pgMar w:top="1008" w:right="1170" w:bottom="864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B624" w14:textId="77777777" w:rsidR="00D0690F" w:rsidRDefault="00D0690F">
      <w:pPr>
        <w:spacing w:after="0" w:line="240" w:lineRule="auto"/>
      </w:pPr>
      <w:r>
        <w:separator/>
      </w:r>
    </w:p>
  </w:endnote>
  <w:endnote w:type="continuationSeparator" w:id="0">
    <w:p w14:paraId="6D9986A1" w14:textId="77777777" w:rsidR="00D0690F" w:rsidRDefault="00D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8"/>
      <w:gridCol w:w="3258"/>
      <w:gridCol w:w="3258"/>
    </w:tblGrid>
    <w:tr w:rsidR="2FF2453F" w14:paraId="125EF6B5" w14:textId="77777777" w:rsidTr="2FF2453F">
      <w:tc>
        <w:tcPr>
          <w:tcW w:w="3258" w:type="dxa"/>
        </w:tcPr>
        <w:p w14:paraId="0A0BA676" w14:textId="7523D32F" w:rsidR="2FF2453F" w:rsidRDefault="2FF2453F" w:rsidP="2FF2453F">
          <w:pPr>
            <w:pStyle w:val="Header"/>
            <w:ind w:left="-115"/>
          </w:pPr>
        </w:p>
      </w:tc>
      <w:tc>
        <w:tcPr>
          <w:tcW w:w="3258" w:type="dxa"/>
        </w:tcPr>
        <w:p w14:paraId="7DEF8898" w14:textId="0199AE2B" w:rsidR="2FF2453F" w:rsidRDefault="2FF2453F" w:rsidP="2FF2453F">
          <w:pPr>
            <w:pStyle w:val="Header"/>
            <w:jc w:val="center"/>
          </w:pPr>
        </w:p>
      </w:tc>
      <w:tc>
        <w:tcPr>
          <w:tcW w:w="3258" w:type="dxa"/>
        </w:tcPr>
        <w:p w14:paraId="7FB554FE" w14:textId="455A77EC" w:rsidR="2FF2453F" w:rsidRDefault="2FF2453F" w:rsidP="2FF2453F">
          <w:pPr>
            <w:pStyle w:val="Header"/>
            <w:ind w:right="-115"/>
            <w:jc w:val="right"/>
          </w:pPr>
        </w:p>
      </w:tc>
    </w:tr>
  </w:tbl>
  <w:p w14:paraId="0B4A8A04" w14:textId="07BDB938" w:rsidR="2FF2453F" w:rsidRPr="002244B1" w:rsidRDefault="00C81555" w:rsidP="00C8155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244B1">
      <w:rPr>
        <w:rFonts w:ascii="Times New Roman" w:hAnsi="Times New Roman" w:cs="Times New Roman"/>
        <w:sz w:val="20"/>
        <w:szCs w:val="20"/>
      </w:rPr>
      <w:t>Updated November 2020</w:t>
    </w:r>
    <w:r w:rsidR="00D01B3B">
      <w:rPr>
        <w:rFonts w:ascii="Times New Roman" w:hAnsi="Times New Roman" w:cs="Times New Roman"/>
        <w:sz w:val="20"/>
        <w:szCs w:val="20"/>
      </w:rPr>
      <w:tab/>
    </w:r>
    <w:r w:rsidR="00D01B3B">
      <w:rPr>
        <w:rFonts w:ascii="Times New Roman" w:hAnsi="Times New Roman" w:cs="Times New Roman"/>
        <w:sz w:val="20"/>
        <w:szCs w:val="20"/>
      </w:rPr>
      <w:tab/>
      <w:t xml:space="preserve">Page </w:t>
    </w:r>
    <w:r w:rsidR="002244B1">
      <w:rPr>
        <w:rFonts w:ascii="Times New Roman" w:hAnsi="Times New Roman" w:cs="Times New Roman"/>
        <w:sz w:val="20"/>
        <w:szCs w:val="20"/>
      </w:rPr>
      <w:t>2</w:t>
    </w:r>
    <w:r w:rsidR="00D01B3B">
      <w:rPr>
        <w:rFonts w:ascii="Times New Roman" w:hAnsi="Times New Roman" w:cs="Times New Roman"/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958C" w14:textId="7BE7BC55" w:rsidR="002244B1" w:rsidRPr="002244B1" w:rsidRDefault="002244B1">
    <w:pPr>
      <w:pStyle w:val="Footer"/>
      <w:rPr>
        <w:rFonts w:ascii="Times New Roman" w:hAnsi="Times New Roman" w:cs="Times New Roman"/>
        <w:sz w:val="20"/>
        <w:szCs w:val="20"/>
      </w:rPr>
    </w:pPr>
    <w:r w:rsidRPr="002244B1">
      <w:rPr>
        <w:rFonts w:ascii="Times New Roman" w:hAnsi="Times New Roman" w:cs="Times New Roman"/>
        <w:sz w:val="20"/>
        <w:szCs w:val="20"/>
      </w:rPr>
      <w:t>Updated November 2020</w:t>
    </w:r>
    <w:r w:rsidRPr="002244B1">
      <w:rPr>
        <w:rFonts w:ascii="Times New Roman" w:hAnsi="Times New Roman" w:cs="Times New Roman"/>
        <w:sz w:val="20"/>
        <w:szCs w:val="20"/>
      </w:rPr>
      <w:tab/>
    </w:r>
    <w:r w:rsidRPr="002244B1">
      <w:rPr>
        <w:rFonts w:ascii="Times New Roman" w:hAnsi="Times New Roman" w:cs="Times New Roman"/>
        <w:sz w:val="20"/>
        <w:szCs w:val="20"/>
      </w:rPr>
      <w:tab/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8"/>
      <w:gridCol w:w="3258"/>
      <w:gridCol w:w="3258"/>
    </w:tblGrid>
    <w:tr w:rsidR="2FF2453F" w14:paraId="270BF061" w14:textId="77777777" w:rsidTr="2FF2453F">
      <w:tc>
        <w:tcPr>
          <w:tcW w:w="3258" w:type="dxa"/>
        </w:tcPr>
        <w:p w14:paraId="6954C662" w14:textId="7B21152B" w:rsidR="2FF2453F" w:rsidRDefault="2FF2453F" w:rsidP="2FF2453F">
          <w:pPr>
            <w:pStyle w:val="Header"/>
            <w:ind w:left="-115"/>
          </w:pPr>
        </w:p>
      </w:tc>
      <w:tc>
        <w:tcPr>
          <w:tcW w:w="3258" w:type="dxa"/>
        </w:tcPr>
        <w:p w14:paraId="26F176E4" w14:textId="51D21AC0" w:rsidR="2FF2453F" w:rsidRDefault="2FF2453F" w:rsidP="2FF2453F">
          <w:pPr>
            <w:pStyle w:val="Header"/>
            <w:jc w:val="center"/>
          </w:pPr>
        </w:p>
      </w:tc>
      <w:tc>
        <w:tcPr>
          <w:tcW w:w="3258" w:type="dxa"/>
        </w:tcPr>
        <w:p w14:paraId="1AF574A1" w14:textId="1E7DFFF1" w:rsidR="2FF2453F" w:rsidRDefault="2FF2453F" w:rsidP="2FF2453F">
          <w:pPr>
            <w:pStyle w:val="Header"/>
            <w:ind w:right="-115"/>
            <w:jc w:val="right"/>
          </w:pPr>
        </w:p>
      </w:tc>
    </w:tr>
  </w:tbl>
  <w:p w14:paraId="5D6650BE" w14:textId="72B693A9" w:rsidR="2FF2453F" w:rsidRDefault="2FF2453F" w:rsidP="00C815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5EE6" w14:textId="77777777" w:rsidR="00D0690F" w:rsidRDefault="00D0690F">
      <w:pPr>
        <w:spacing w:after="0" w:line="240" w:lineRule="auto"/>
      </w:pPr>
      <w:r>
        <w:separator/>
      </w:r>
    </w:p>
  </w:footnote>
  <w:footnote w:type="continuationSeparator" w:id="0">
    <w:p w14:paraId="6134B0EA" w14:textId="77777777" w:rsidR="00D0690F" w:rsidRDefault="00D0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8"/>
      <w:gridCol w:w="3258"/>
      <w:gridCol w:w="3258"/>
    </w:tblGrid>
    <w:tr w:rsidR="2FF2453F" w14:paraId="5AF54E15" w14:textId="77777777" w:rsidTr="2FF2453F">
      <w:tc>
        <w:tcPr>
          <w:tcW w:w="3258" w:type="dxa"/>
        </w:tcPr>
        <w:p w14:paraId="2D8D7C97" w14:textId="705E6D65" w:rsidR="2FF2453F" w:rsidRDefault="2FF2453F" w:rsidP="2FF2453F">
          <w:pPr>
            <w:pStyle w:val="Header"/>
            <w:ind w:left="-115"/>
          </w:pPr>
        </w:p>
      </w:tc>
      <w:tc>
        <w:tcPr>
          <w:tcW w:w="3258" w:type="dxa"/>
        </w:tcPr>
        <w:p w14:paraId="066EDA5C" w14:textId="57DA980A" w:rsidR="2FF2453F" w:rsidRDefault="2FF2453F" w:rsidP="2FF2453F">
          <w:pPr>
            <w:pStyle w:val="Header"/>
            <w:jc w:val="center"/>
          </w:pPr>
        </w:p>
      </w:tc>
      <w:tc>
        <w:tcPr>
          <w:tcW w:w="3258" w:type="dxa"/>
        </w:tcPr>
        <w:p w14:paraId="01B495CA" w14:textId="786AFBF4" w:rsidR="2FF2453F" w:rsidRDefault="2FF2453F" w:rsidP="2FF2453F">
          <w:pPr>
            <w:pStyle w:val="Header"/>
            <w:ind w:right="-115"/>
            <w:jc w:val="right"/>
          </w:pPr>
        </w:p>
      </w:tc>
    </w:tr>
  </w:tbl>
  <w:p w14:paraId="06A667D1" w14:textId="7D3D7519" w:rsidR="2FF2453F" w:rsidRDefault="2FF2453F" w:rsidP="2FF24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8"/>
      <w:gridCol w:w="3258"/>
      <w:gridCol w:w="3258"/>
    </w:tblGrid>
    <w:tr w:rsidR="2FF2453F" w14:paraId="3AA2E628" w14:textId="77777777" w:rsidTr="2FF2453F">
      <w:tc>
        <w:tcPr>
          <w:tcW w:w="3258" w:type="dxa"/>
        </w:tcPr>
        <w:p w14:paraId="0864D614" w14:textId="20F13746" w:rsidR="2FF2453F" w:rsidRDefault="2FF2453F" w:rsidP="2FF2453F">
          <w:pPr>
            <w:pStyle w:val="Header"/>
            <w:ind w:left="-115"/>
          </w:pPr>
        </w:p>
      </w:tc>
      <w:tc>
        <w:tcPr>
          <w:tcW w:w="3258" w:type="dxa"/>
        </w:tcPr>
        <w:p w14:paraId="45E5B89E" w14:textId="256E5209" w:rsidR="2FF2453F" w:rsidRDefault="2FF2453F" w:rsidP="2FF2453F">
          <w:pPr>
            <w:pStyle w:val="Header"/>
            <w:jc w:val="center"/>
          </w:pPr>
        </w:p>
      </w:tc>
      <w:tc>
        <w:tcPr>
          <w:tcW w:w="3258" w:type="dxa"/>
        </w:tcPr>
        <w:p w14:paraId="51FE2C52" w14:textId="5B340E83" w:rsidR="2FF2453F" w:rsidRDefault="2FF2453F" w:rsidP="2FF2453F">
          <w:pPr>
            <w:pStyle w:val="Header"/>
            <w:ind w:right="-115"/>
            <w:jc w:val="right"/>
          </w:pPr>
        </w:p>
      </w:tc>
    </w:tr>
  </w:tbl>
  <w:p w14:paraId="08A67D5E" w14:textId="2D1E9E2E" w:rsidR="2FF2453F" w:rsidRDefault="2FF2453F" w:rsidP="2FF2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C67"/>
    <w:multiLevelType w:val="hybridMultilevel"/>
    <w:tmpl w:val="4E243D70"/>
    <w:lvl w:ilvl="0" w:tplc="81DAEFE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2297C0A"/>
    <w:multiLevelType w:val="hybridMultilevel"/>
    <w:tmpl w:val="BF4A2214"/>
    <w:lvl w:ilvl="0" w:tplc="EAF8D7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6557"/>
    <w:multiLevelType w:val="hybridMultilevel"/>
    <w:tmpl w:val="0858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1FD"/>
    <w:multiLevelType w:val="hybridMultilevel"/>
    <w:tmpl w:val="EBC44D0A"/>
    <w:lvl w:ilvl="0" w:tplc="A7E8FA4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F294C"/>
    <w:multiLevelType w:val="hybridMultilevel"/>
    <w:tmpl w:val="60FC35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7B8D"/>
    <w:multiLevelType w:val="hybridMultilevel"/>
    <w:tmpl w:val="DE24C3A4"/>
    <w:lvl w:ilvl="0" w:tplc="0F1610A2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A"/>
    <w:rsid w:val="00012772"/>
    <w:rsid w:val="00035DA2"/>
    <w:rsid w:val="00074426"/>
    <w:rsid w:val="000D717C"/>
    <w:rsid w:val="000E7CE6"/>
    <w:rsid w:val="001169A8"/>
    <w:rsid w:val="00141052"/>
    <w:rsid w:val="00153616"/>
    <w:rsid w:val="0015501A"/>
    <w:rsid w:val="00194280"/>
    <w:rsid w:val="001E0E16"/>
    <w:rsid w:val="001E2895"/>
    <w:rsid w:val="001F4A33"/>
    <w:rsid w:val="00203962"/>
    <w:rsid w:val="00214EC7"/>
    <w:rsid w:val="002244B1"/>
    <w:rsid w:val="0027126E"/>
    <w:rsid w:val="00291342"/>
    <w:rsid w:val="002C396B"/>
    <w:rsid w:val="002D531D"/>
    <w:rsid w:val="002D56D2"/>
    <w:rsid w:val="003260E6"/>
    <w:rsid w:val="0033156F"/>
    <w:rsid w:val="00344CF1"/>
    <w:rsid w:val="003525DC"/>
    <w:rsid w:val="00372031"/>
    <w:rsid w:val="0038661A"/>
    <w:rsid w:val="003D279A"/>
    <w:rsid w:val="00421420"/>
    <w:rsid w:val="00422908"/>
    <w:rsid w:val="0042523F"/>
    <w:rsid w:val="00431173"/>
    <w:rsid w:val="00440939"/>
    <w:rsid w:val="004746C0"/>
    <w:rsid w:val="004D0C29"/>
    <w:rsid w:val="004D5077"/>
    <w:rsid w:val="004F2CD4"/>
    <w:rsid w:val="004F590E"/>
    <w:rsid w:val="005049BC"/>
    <w:rsid w:val="00507ED3"/>
    <w:rsid w:val="00513DB3"/>
    <w:rsid w:val="0051635D"/>
    <w:rsid w:val="00547C6E"/>
    <w:rsid w:val="005668B7"/>
    <w:rsid w:val="00596136"/>
    <w:rsid w:val="005A7587"/>
    <w:rsid w:val="005C6ED8"/>
    <w:rsid w:val="005F4D08"/>
    <w:rsid w:val="00616334"/>
    <w:rsid w:val="00616760"/>
    <w:rsid w:val="00623709"/>
    <w:rsid w:val="00665698"/>
    <w:rsid w:val="0068202B"/>
    <w:rsid w:val="006D4558"/>
    <w:rsid w:val="00704525"/>
    <w:rsid w:val="00712E03"/>
    <w:rsid w:val="007447D6"/>
    <w:rsid w:val="007673D8"/>
    <w:rsid w:val="007710CE"/>
    <w:rsid w:val="007756B4"/>
    <w:rsid w:val="007D1BA7"/>
    <w:rsid w:val="007F655C"/>
    <w:rsid w:val="00822575"/>
    <w:rsid w:val="00857DC6"/>
    <w:rsid w:val="008E2E6C"/>
    <w:rsid w:val="00973679"/>
    <w:rsid w:val="0099370F"/>
    <w:rsid w:val="009C4705"/>
    <w:rsid w:val="00A36A9D"/>
    <w:rsid w:val="00A465FC"/>
    <w:rsid w:val="00A63810"/>
    <w:rsid w:val="00A90A87"/>
    <w:rsid w:val="00AA3402"/>
    <w:rsid w:val="00AC1923"/>
    <w:rsid w:val="00AE42E8"/>
    <w:rsid w:val="00B23702"/>
    <w:rsid w:val="00B74838"/>
    <w:rsid w:val="00B77A4D"/>
    <w:rsid w:val="00B81337"/>
    <w:rsid w:val="00BA1EFD"/>
    <w:rsid w:val="00BF2D2D"/>
    <w:rsid w:val="00C05C54"/>
    <w:rsid w:val="00C16C1E"/>
    <w:rsid w:val="00C35E60"/>
    <w:rsid w:val="00C46056"/>
    <w:rsid w:val="00C52F96"/>
    <w:rsid w:val="00C81555"/>
    <w:rsid w:val="00CA7FF5"/>
    <w:rsid w:val="00CB667D"/>
    <w:rsid w:val="00D01B3B"/>
    <w:rsid w:val="00D0690F"/>
    <w:rsid w:val="00D252CE"/>
    <w:rsid w:val="00D35BBD"/>
    <w:rsid w:val="00D70AAD"/>
    <w:rsid w:val="00D7167E"/>
    <w:rsid w:val="00D72630"/>
    <w:rsid w:val="00D752C8"/>
    <w:rsid w:val="00DA718A"/>
    <w:rsid w:val="00DC0058"/>
    <w:rsid w:val="00DD00AE"/>
    <w:rsid w:val="00E2474C"/>
    <w:rsid w:val="00E60CE7"/>
    <w:rsid w:val="00E6590F"/>
    <w:rsid w:val="00E67804"/>
    <w:rsid w:val="00E760DC"/>
    <w:rsid w:val="00EA0674"/>
    <w:rsid w:val="00EE77E0"/>
    <w:rsid w:val="00F074E7"/>
    <w:rsid w:val="00F10393"/>
    <w:rsid w:val="00F36C3F"/>
    <w:rsid w:val="00F60041"/>
    <w:rsid w:val="00F801F6"/>
    <w:rsid w:val="00FD2F99"/>
    <w:rsid w:val="00FD63E1"/>
    <w:rsid w:val="2F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3C640"/>
  <w15:chartTrackingRefBased/>
  <w15:docId w15:val="{DFCC0A21-9203-4116-B917-D6EC33C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406832C9BC4F91D104A78C8E0816" ma:contentTypeVersion="13" ma:contentTypeDescription="Create a new document." ma:contentTypeScope="" ma:versionID="eaa77e34448e3b82d1aba7e901ee9fb7">
  <xsd:schema xmlns:xsd="http://www.w3.org/2001/XMLSchema" xmlns:xs="http://www.w3.org/2001/XMLSchema" xmlns:p="http://schemas.microsoft.com/office/2006/metadata/properties" xmlns:ns1="http://schemas.microsoft.com/sharepoint/v3" xmlns:ns2="ed83551b-1c74-4eb0-a689-e3b00317a30f" xmlns:ns3="f24715ab-4043-4d0f-80ea-804aab3e3c5b" xmlns:ns4="dc57c62c-5dec-40f7-9362-68fd22dc7198" targetNamespace="http://schemas.microsoft.com/office/2006/metadata/properties" ma:root="true" ma:fieldsID="a01e68d293249467141225847acf1142" ns1:_="" ns2:_="" ns3:_="" ns4:_="">
    <xsd:import namespace="http://schemas.microsoft.com/sharepoint/v3"/>
    <xsd:import namespace="ed83551b-1c74-4eb0-a689-e3b00317a30f"/>
    <xsd:import namespace="f24715ab-4043-4d0f-80ea-804aab3e3c5b"/>
    <xsd:import namespace="dc57c62c-5dec-40f7-9362-68fd22dc7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SharingHintHash" minOccurs="0"/>
                <xsd:element ref="ns2:SharedWithDetails" minOccurs="0"/>
                <xsd:element ref="ns4:District"/>
                <xsd:element ref="ns4:Document_x0020_Type"/>
                <xsd:element ref="ns4:Category"/>
                <xsd:element ref="ns4:Yea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15ab-4043-4d0f-80ea-804aab3e3c5b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c62c-5dec-40f7-9362-68fd22dc7198" elementFormDefault="qualified">
    <xsd:import namespace="http://schemas.microsoft.com/office/2006/documentManagement/types"/>
    <xsd:import namespace="http://schemas.microsoft.com/office/infopath/2007/PartnerControls"/>
    <xsd:element name="District" ma:index="14" ma:displayName="District" ma:format="Dropdown" ma:internalName="District">
      <xsd:simpleType>
        <xsd:restriction base="dms:Choice">
          <xsd:enumeration value="All"/>
          <xsd:enumeration value="CD"/>
          <xsd:enumeration value="NED"/>
          <xsd:enumeration value="NWD"/>
          <xsd:enumeration value="SD"/>
          <xsd:enumeration value="SED"/>
          <xsd:enumeration value="SWD"/>
          <xsd:enumeration value="SWD-PM"/>
        </xsd:restriction>
      </xsd:simpleType>
    </xsd:element>
    <xsd:element name="Document_x0020_Type" ma:index="15" ma:displayName="Document Type" ma:format="Dropdown" ma:internalName="Document_x0020_Type">
      <xsd:simpleType>
        <xsd:union memberTypes="dms:Text">
          <xsd:simpleType>
            <xsd:restriction base="dms:Choice">
              <xsd:enumeration value="Guidance/Training"/>
              <xsd:enumeration value="CAP Disciplines"/>
              <xsd:enumeration value="Meeting Materials"/>
              <xsd:enumeration value="Monthly Reports"/>
              <xsd:enumeration value="QA Guidance Materials"/>
              <xsd:enumeration value="Reports"/>
              <xsd:enumeration value="SSO Workgroup"/>
              <xsd:enumeration value="SSO Monthly Reports"/>
              <xsd:enumeration value="WW SNC Workgroup"/>
            </xsd:restriction>
          </xsd:simpleType>
        </xsd:union>
      </xsd:simpleType>
    </xsd:element>
    <xsd:element name="Category" ma:index="16" ma:displayName="Category" ma:format="Dropdown" ma:internalName="Category">
      <xsd:simpleType>
        <xsd:union memberTypes="dms:Text">
          <xsd:simpleType>
            <xsd:restriction base="dms:Choice">
              <xsd:enumeration value="Basic Inspector Training Workshop"/>
              <xsd:enumeration value="C&amp;E Teleconference"/>
              <xsd:enumeration value="Guidance"/>
              <xsd:enumeration value="Manuals"/>
              <xsd:enumeration value="Missing Outfalls"/>
              <xsd:enumeration value="Missing Outfall DMRs"/>
              <xsd:enumeration value="Expired PES Permits"/>
              <xsd:enumeration value="SSO Guidance"/>
              <xsd:enumeration value="Facilities Not Inspected"/>
              <xsd:enumeration value="Training Materials"/>
              <xsd:enumeration value="Reports"/>
              <xsd:enumeration value="SSO Weekly Report"/>
            </xsd:restriction>
          </xsd:simpleType>
        </xsd:union>
      </xsd:simpleType>
    </xsd:element>
    <xsd:element name="Year" ma:index="17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onth" ma:index="22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nth xmlns="dc57c62c-5dec-40f7-9362-68fd22dc7198">May</Month>
    <Category xmlns="dc57c62c-5dec-40f7-9362-68fd22dc7198">SSO Guidance</Category>
    <Document_x0020_Type xmlns="dc57c62c-5dec-40f7-9362-68fd22dc7198">Guidance/Training</Document_x0020_Type>
    <Year xmlns="dc57c62c-5dec-40f7-9362-68fd22dc7198">2019</Year>
    <_ip_UnifiedCompliancePolicyProperties xmlns="http://schemas.microsoft.com/sharepoint/v3" xsi:nil="true"/>
    <District xmlns="dc57c62c-5dec-40f7-9362-68fd22dc7198">All</District>
    <_dlc_DocId xmlns="ed83551b-1c74-4eb0-a689-e3b00317a30f">NPVFY6KNS3ZM-693-638</_dlc_DocId>
    <_dlc_DocIdUrl xmlns="ed83551b-1c74-4eb0-a689-e3b00317a30f">
      <Url>https://floridadep.sharepoint.com/wrm/wcap/_layouts/15/DocIdRedir.aspx?ID=NPVFY6KNS3ZM-693-638</Url>
      <Description>NPVFY6KNS3ZM-693-638</Description>
    </_dlc_DocIdUrl>
    <SharedWithUsers xmlns="ed83551b-1c74-4eb0-a689-e3b00317a30f">
      <UserInfo>
        <DisplayName>Tanski, Michael</DisplayName>
        <AccountId>2619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30265C-2DE9-4324-B0BD-C6A8F025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83551b-1c74-4eb0-a689-e3b00317a30f"/>
    <ds:schemaRef ds:uri="f24715ab-4043-4d0f-80ea-804aab3e3c5b"/>
    <ds:schemaRef ds:uri="dc57c62c-5dec-40f7-9362-68fd22dc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C510E-A0BC-4E89-B507-F0F4BFDCB4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A0850-1737-40AC-8CB3-02483F10D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BF83A-99DD-4FFD-88AE-2DEA6F379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57c62c-5dec-40f7-9362-68fd22dc7198"/>
    <ds:schemaRef ds:uri="ed83551b-1c74-4eb0-a689-e3b00317a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Kim</dc:creator>
  <cp:keywords/>
  <dc:description/>
  <cp:lastModifiedBy>South District</cp:lastModifiedBy>
  <cp:revision>4</cp:revision>
  <dcterms:created xsi:type="dcterms:W3CDTF">2020-11-24T10:38:00Z</dcterms:created>
  <dcterms:modified xsi:type="dcterms:W3CDTF">2020-12-03T21:25:00Z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0x0101001014406832C9BC4F91D104A78C8E0816</vt:lpwstr>
  </property>
  <property fmtid="{D5CDD505-2E9C-101B-9397-08002B2CF9AE}" pid="3" name="_dlc_DocIdItemGuid">
    <vt:lpwstr>88000d29-11a0-4574-ab77-32e0236cba8a</vt:lpwstr>
  </property>
</Properties>
</file>