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2DF3" w14:textId="77777777" w:rsidR="00F02C3C" w:rsidRPr="00EE4197" w:rsidRDefault="00F02C3C" w:rsidP="00F02C3C">
      <w:pPr>
        <w:autoSpaceDE w:val="0"/>
        <w:autoSpaceDN w:val="0"/>
        <w:adjustRightInd w:val="0"/>
        <w:spacing w:after="0" w:line="240" w:lineRule="auto"/>
        <w:rPr>
          <w:rFonts w:cs="Calibri"/>
          <w:color w:val="000000"/>
          <w:sz w:val="24"/>
          <w:szCs w:val="24"/>
        </w:rPr>
      </w:pPr>
    </w:p>
    <w:p w14:paraId="58F1AF2C" w14:textId="77777777" w:rsidR="00F02C3C" w:rsidRPr="00EE4197" w:rsidRDefault="00F02C3C" w:rsidP="00F02C3C">
      <w:pPr>
        <w:autoSpaceDE w:val="0"/>
        <w:autoSpaceDN w:val="0"/>
        <w:adjustRightInd w:val="0"/>
        <w:spacing w:after="0" w:line="240" w:lineRule="auto"/>
        <w:jc w:val="center"/>
        <w:rPr>
          <w:rFonts w:cs="Calibri"/>
          <w:b/>
          <w:bCs/>
          <w:color w:val="000000"/>
          <w:sz w:val="40"/>
          <w:szCs w:val="40"/>
        </w:rPr>
      </w:pPr>
      <w:r w:rsidRPr="00EE4197">
        <w:rPr>
          <w:rFonts w:cs="Calibri"/>
          <w:b/>
          <w:bCs/>
          <w:color w:val="000000"/>
          <w:sz w:val="40"/>
          <w:szCs w:val="40"/>
        </w:rPr>
        <w:t>Guidance for Establishing a</w:t>
      </w:r>
    </w:p>
    <w:p w14:paraId="4ADA1A67" w14:textId="77777777" w:rsidR="00F02C3C" w:rsidRPr="00EE4197" w:rsidRDefault="00F02C3C" w:rsidP="00F02C3C">
      <w:pPr>
        <w:autoSpaceDE w:val="0"/>
        <w:autoSpaceDN w:val="0"/>
        <w:adjustRightInd w:val="0"/>
        <w:spacing w:after="0" w:line="240" w:lineRule="auto"/>
        <w:jc w:val="center"/>
        <w:rPr>
          <w:rFonts w:cs="Calibri"/>
          <w:b/>
          <w:bCs/>
          <w:color w:val="000000"/>
          <w:sz w:val="40"/>
          <w:szCs w:val="40"/>
        </w:rPr>
      </w:pPr>
      <w:r w:rsidRPr="00EE4197">
        <w:rPr>
          <w:rFonts w:cs="Calibri"/>
          <w:b/>
          <w:bCs/>
          <w:color w:val="000000"/>
          <w:sz w:val="40"/>
          <w:szCs w:val="40"/>
        </w:rPr>
        <w:t>Temporary Point of Compliance</w:t>
      </w:r>
    </w:p>
    <w:p w14:paraId="2C33BF14" w14:textId="77777777" w:rsidR="00F02C3C" w:rsidRPr="00EE4197" w:rsidRDefault="00DB6937" w:rsidP="00F02C3C">
      <w:pPr>
        <w:autoSpaceDE w:val="0"/>
        <w:autoSpaceDN w:val="0"/>
        <w:adjustRightInd w:val="0"/>
        <w:spacing w:after="0" w:line="240" w:lineRule="auto"/>
        <w:jc w:val="center"/>
        <w:rPr>
          <w:rFonts w:cs="Calibri"/>
          <w:color w:val="000000"/>
          <w:sz w:val="40"/>
          <w:szCs w:val="40"/>
        </w:rPr>
      </w:pPr>
      <w:r w:rsidRPr="00EE4197">
        <w:rPr>
          <w:rFonts w:cs="Calibri"/>
          <w:b/>
          <w:bCs/>
          <w:color w:val="000000"/>
          <w:sz w:val="40"/>
          <w:szCs w:val="40"/>
        </w:rPr>
        <w:t>B</w:t>
      </w:r>
      <w:r w:rsidR="00F02C3C" w:rsidRPr="00EE4197">
        <w:rPr>
          <w:rFonts w:cs="Calibri"/>
          <w:b/>
          <w:bCs/>
          <w:color w:val="000000"/>
          <w:sz w:val="40"/>
          <w:szCs w:val="40"/>
        </w:rPr>
        <w:t>eyond the Source Property Boundary</w:t>
      </w:r>
    </w:p>
    <w:p w14:paraId="58363E0D" w14:textId="77777777" w:rsidR="00F02C3C" w:rsidRPr="00EE4197" w:rsidRDefault="00F02C3C" w:rsidP="00F02C3C">
      <w:pPr>
        <w:autoSpaceDE w:val="0"/>
        <w:autoSpaceDN w:val="0"/>
        <w:adjustRightInd w:val="0"/>
        <w:spacing w:after="0" w:line="240" w:lineRule="auto"/>
        <w:jc w:val="center"/>
        <w:rPr>
          <w:rFonts w:cs="Calibri"/>
          <w:b/>
          <w:bCs/>
          <w:color w:val="000000"/>
          <w:sz w:val="28"/>
          <w:szCs w:val="28"/>
        </w:rPr>
      </w:pPr>
    </w:p>
    <w:p w14:paraId="33F7661E" w14:textId="77777777" w:rsidR="00DB6937" w:rsidRPr="00EE4197" w:rsidRDefault="00DB6937" w:rsidP="00F02C3C">
      <w:pPr>
        <w:autoSpaceDE w:val="0"/>
        <w:autoSpaceDN w:val="0"/>
        <w:adjustRightInd w:val="0"/>
        <w:spacing w:after="0" w:line="240" w:lineRule="auto"/>
        <w:jc w:val="center"/>
        <w:rPr>
          <w:rFonts w:cs="Calibri"/>
          <w:b/>
          <w:bCs/>
          <w:color w:val="000000"/>
          <w:sz w:val="28"/>
          <w:szCs w:val="28"/>
        </w:rPr>
      </w:pPr>
    </w:p>
    <w:p w14:paraId="35156E3B" w14:textId="77777777" w:rsidR="00DB6937" w:rsidRPr="00EE4197" w:rsidRDefault="00DB6937" w:rsidP="00F02C3C">
      <w:pPr>
        <w:autoSpaceDE w:val="0"/>
        <w:autoSpaceDN w:val="0"/>
        <w:adjustRightInd w:val="0"/>
        <w:spacing w:after="0" w:line="240" w:lineRule="auto"/>
        <w:jc w:val="center"/>
        <w:rPr>
          <w:rFonts w:cs="Calibri"/>
          <w:b/>
          <w:bCs/>
          <w:color w:val="000000"/>
          <w:sz w:val="28"/>
          <w:szCs w:val="28"/>
        </w:rPr>
      </w:pPr>
    </w:p>
    <w:p w14:paraId="1232A567" w14:textId="77777777" w:rsidR="00DB6937" w:rsidRPr="00EE4197" w:rsidRDefault="00DB6937" w:rsidP="00F02C3C">
      <w:pPr>
        <w:autoSpaceDE w:val="0"/>
        <w:autoSpaceDN w:val="0"/>
        <w:adjustRightInd w:val="0"/>
        <w:spacing w:after="0" w:line="240" w:lineRule="auto"/>
        <w:jc w:val="center"/>
        <w:rPr>
          <w:rFonts w:cs="Calibri"/>
          <w:b/>
          <w:bCs/>
          <w:color w:val="000000"/>
          <w:sz w:val="28"/>
          <w:szCs w:val="28"/>
        </w:rPr>
      </w:pPr>
    </w:p>
    <w:p w14:paraId="3C001D56" w14:textId="77777777" w:rsidR="00F02C3C" w:rsidRPr="00EE4197" w:rsidRDefault="00F02C3C" w:rsidP="00F02C3C">
      <w:pPr>
        <w:autoSpaceDE w:val="0"/>
        <w:autoSpaceDN w:val="0"/>
        <w:adjustRightInd w:val="0"/>
        <w:spacing w:after="0" w:line="240" w:lineRule="auto"/>
        <w:jc w:val="center"/>
        <w:rPr>
          <w:rFonts w:cs="Calibri"/>
          <w:b/>
          <w:bCs/>
          <w:color w:val="000000"/>
          <w:sz w:val="28"/>
          <w:szCs w:val="28"/>
        </w:rPr>
      </w:pPr>
    </w:p>
    <w:p w14:paraId="6B723991" w14:textId="77777777" w:rsidR="00DB6937" w:rsidRPr="00EE4197" w:rsidRDefault="00DB6937" w:rsidP="00F02C3C">
      <w:pPr>
        <w:autoSpaceDE w:val="0"/>
        <w:autoSpaceDN w:val="0"/>
        <w:adjustRightInd w:val="0"/>
        <w:spacing w:after="0" w:line="240" w:lineRule="auto"/>
        <w:jc w:val="center"/>
        <w:rPr>
          <w:rFonts w:cs="Calibri"/>
          <w:b/>
          <w:bCs/>
          <w:color w:val="000000"/>
          <w:sz w:val="28"/>
          <w:szCs w:val="28"/>
        </w:rPr>
      </w:pPr>
    </w:p>
    <w:p w14:paraId="18175AE7" w14:textId="77777777" w:rsidR="00DB6937" w:rsidRPr="00EE4197" w:rsidRDefault="00DB6937" w:rsidP="00F02C3C">
      <w:pPr>
        <w:autoSpaceDE w:val="0"/>
        <w:autoSpaceDN w:val="0"/>
        <w:adjustRightInd w:val="0"/>
        <w:spacing w:after="0" w:line="240" w:lineRule="auto"/>
        <w:jc w:val="center"/>
        <w:rPr>
          <w:rFonts w:cs="Calibri"/>
          <w:b/>
          <w:bCs/>
          <w:color w:val="000000"/>
          <w:sz w:val="28"/>
          <w:szCs w:val="28"/>
        </w:rPr>
      </w:pPr>
    </w:p>
    <w:p w14:paraId="530700B2" w14:textId="77777777" w:rsidR="00F02C3C" w:rsidRPr="00EE4197" w:rsidRDefault="00F02C3C" w:rsidP="00F02C3C">
      <w:pPr>
        <w:autoSpaceDE w:val="0"/>
        <w:autoSpaceDN w:val="0"/>
        <w:adjustRightInd w:val="0"/>
        <w:spacing w:after="0" w:line="240" w:lineRule="auto"/>
        <w:jc w:val="center"/>
        <w:rPr>
          <w:rFonts w:cs="Calibri"/>
          <w:b/>
          <w:bCs/>
          <w:color w:val="000000"/>
          <w:sz w:val="28"/>
          <w:szCs w:val="28"/>
        </w:rPr>
      </w:pPr>
    </w:p>
    <w:p w14:paraId="4EB29005" w14:textId="77777777" w:rsidR="00F02C3C" w:rsidRPr="00EE4197" w:rsidRDefault="00F02C3C" w:rsidP="00F02C3C">
      <w:pPr>
        <w:autoSpaceDE w:val="0"/>
        <w:autoSpaceDN w:val="0"/>
        <w:adjustRightInd w:val="0"/>
        <w:spacing w:after="0" w:line="240" w:lineRule="auto"/>
        <w:jc w:val="center"/>
        <w:rPr>
          <w:rFonts w:cs="Calibri"/>
          <w:b/>
          <w:bCs/>
          <w:color w:val="000000"/>
          <w:sz w:val="28"/>
          <w:szCs w:val="28"/>
        </w:rPr>
      </w:pPr>
    </w:p>
    <w:p w14:paraId="334BE41D" w14:textId="22CC14E0" w:rsidR="00F02C3C" w:rsidRPr="00EE4197" w:rsidRDefault="00F02C3C" w:rsidP="00F02C3C">
      <w:pPr>
        <w:autoSpaceDE w:val="0"/>
        <w:autoSpaceDN w:val="0"/>
        <w:adjustRightInd w:val="0"/>
        <w:spacing w:after="0" w:line="240" w:lineRule="auto"/>
        <w:jc w:val="center"/>
        <w:rPr>
          <w:rFonts w:cs="Calibri"/>
          <w:color w:val="000000"/>
          <w:sz w:val="28"/>
          <w:szCs w:val="28"/>
        </w:rPr>
      </w:pPr>
      <w:r w:rsidRPr="00EE4197">
        <w:rPr>
          <w:rFonts w:cs="Calibri"/>
          <w:b/>
          <w:bCs/>
          <w:color w:val="000000"/>
          <w:sz w:val="28"/>
          <w:szCs w:val="28"/>
        </w:rPr>
        <w:t>Florida Department of Environmental Protection</w:t>
      </w:r>
    </w:p>
    <w:p w14:paraId="017AED47" w14:textId="0A499AB0" w:rsidR="00F02C3C" w:rsidRPr="00EE4197" w:rsidRDefault="00C93CA0" w:rsidP="00F02C3C">
      <w:pPr>
        <w:autoSpaceDE w:val="0"/>
        <w:autoSpaceDN w:val="0"/>
        <w:adjustRightInd w:val="0"/>
        <w:spacing w:after="0" w:line="240" w:lineRule="auto"/>
        <w:jc w:val="center"/>
        <w:rPr>
          <w:rFonts w:cs="Calibri"/>
          <w:color w:val="000000"/>
          <w:sz w:val="28"/>
          <w:szCs w:val="28"/>
        </w:rPr>
      </w:pPr>
      <w:r>
        <w:rPr>
          <w:rFonts w:cs="Calibri"/>
          <w:b/>
          <w:bCs/>
          <w:color w:val="000000"/>
          <w:sz w:val="28"/>
          <w:szCs w:val="28"/>
        </w:rPr>
        <w:t>District &amp; Business Support Program</w:t>
      </w:r>
    </w:p>
    <w:p w14:paraId="63ED6DDE" w14:textId="77777777" w:rsidR="00F02C3C" w:rsidRPr="00EE4197" w:rsidRDefault="00F02C3C" w:rsidP="00F02C3C">
      <w:pPr>
        <w:autoSpaceDE w:val="0"/>
        <w:autoSpaceDN w:val="0"/>
        <w:adjustRightInd w:val="0"/>
        <w:spacing w:after="0" w:line="240" w:lineRule="auto"/>
        <w:jc w:val="center"/>
        <w:rPr>
          <w:rFonts w:cs="Calibri"/>
          <w:color w:val="000000"/>
          <w:sz w:val="28"/>
          <w:szCs w:val="28"/>
        </w:rPr>
      </w:pPr>
      <w:r w:rsidRPr="00EE4197">
        <w:rPr>
          <w:rFonts w:cs="Calibri"/>
          <w:b/>
          <w:bCs/>
          <w:color w:val="000000"/>
          <w:sz w:val="28"/>
          <w:szCs w:val="28"/>
        </w:rPr>
        <w:t>Tallahassee, FL</w:t>
      </w:r>
    </w:p>
    <w:p w14:paraId="269CDCE1" w14:textId="77777777" w:rsidR="00F02C3C" w:rsidRPr="00EE4197" w:rsidRDefault="00F02C3C" w:rsidP="00F02C3C">
      <w:pPr>
        <w:autoSpaceDE w:val="0"/>
        <w:autoSpaceDN w:val="0"/>
        <w:adjustRightInd w:val="0"/>
        <w:spacing w:after="0" w:line="240" w:lineRule="auto"/>
        <w:jc w:val="center"/>
        <w:rPr>
          <w:rFonts w:cs="Calibri"/>
          <w:b/>
          <w:bCs/>
          <w:color w:val="000000"/>
          <w:sz w:val="28"/>
          <w:szCs w:val="28"/>
        </w:rPr>
      </w:pPr>
    </w:p>
    <w:p w14:paraId="6AD27303" w14:textId="77777777" w:rsidR="00F02C3C" w:rsidRPr="00EE4197" w:rsidRDefault="00F02C3C" w:rsidP="00F02C3C">
      <w:pPr>
        <w:autoSpaceDE w:val="0"/>
        <w:autoSpaceDN w:val="0"/>
        <w:adjustRightInd w:val="0"/>
        <w:spacing w:after="0" w:line="240" w:lineRule="auto"/>
        <w:jc w:val="center"/>
        <w:rPr>
          <w:rFonts w:cs="Calibri"/>
          <w:b/>
          <w:bCs/>
          <w:color w:val="000000"/>
          <w:sz w:val="28"/>
          <w:szCs w:val="28"/>
        </w:rPr>
      </w:pPr>
    </w:p>
    <w:p w14:paraId="26931AAD" w14:textId="77777777" w:rsidR="00F02C3C" w:rsidRPr="00EE4197" w:rsidRDefault="00F02C3C" w:rsidP="00F02C3C">
      <w:pPr>
        <w:autoSpaceDE w:val="0"/>
        <w:autoSpaceDN w:val="0"/>
        <w:adjustRightInd w:val="0"/>
        <w:spacing w:after="0" w:line="240" w:lineRule="auto"/>
        <w:jc w:val="center"/>
        <w:rPr>
          <w:rFonts w:cs="Calibri"/>
          <w:b/>
          <w:bCs/>
          <w:color w:val="000000"/>
          <w:sz w:val="28"/>
          <w:szCs w:val="28"/>
        </w:rPr>
      </w:pPr>
    </w:p>
    <w:p w14:paraId="74731791" w14:textId="77777777" w:rsidR="00F02C3C" w:rsidRPr="00EE4197" w:rsidRDefault="00F02C3C" w:rsidP="00F02C3C">
      <w:pPr>
        <w:autoSpaceDE w:val="0"/>
        <w:autoSpaceDN w:val="0"/>
        <w:adjustRightInd w:val="0"/>
        <w:spacing w:after="0" w:line="240" w:lineRule="auto"/>
        <w:jc w:val="center"/>
        <w:rPr>
          <w:rFonts w:cs="Calibri"/>
          <w:b/>
          <w:bCs/>
          <w:color w:val="000000"/>
          <w:sz w:val="28"/>
          <w:szCs w:val="28"/>
        </w:rPr>
      </w:pPr>
    </w:p>
    <w:p w14:paraId="7E5C02C5" w14:textId="77777777" w:rsidR="00DB6937" w:rsidRPr="00EE4197" w:rsidRDefault="00DB6937" w:rsidP="00F02C3C">
      <w:pPr>
        <w:autoSpaceDE w:val="0"/>
        <w:autoSpaceDN w:val="0"/>
        <w:adjustRightInd w:val="0"/>
        <w:spacing w:after="0" w:line="240" w:lineRule="auto"/>
        <w:jc w:val="center"/>
        <w:rPr>
          <w:rFonts w:cs="Calibri"/>
          <w:b/>
          <w:bCs/>
          <w:color w:val="000000"/>
          <w:sz w:val="28"/>
          <w:szCs w:val="28"/>
        </w:rPr>
      </w:pPr>
    </w:p>
    <w:p w14:paraId="2AE32B64" w14:textId="77777777" w:rsidR="00DB6937" w:rsidRPr="00EE4197" w:rsidRDefault="00DB6937" w:rsidP="00F02C3C">
      <w:pPr>
        <w:autoSpaceDE w:val="0"/>
        <w:autoSpaceDN w:val="0"/>
        <w:adjustRightInd w:val="0"/>
        <w:spacing w:after="0" w:line="240" w:lineRule="auto"/>
        <w:jc w:val="center"/>
        <w:rPr>
          <w:rFonts w:cs="Calibri"/>
          <w:b/>
          <w:bCs/>
          <w:color w:val="000000"/>
          <w:sz w:val="28"/>
          <w:szCs w:val="28"/>
        </w:rPr>
      </w:pPr>
    </w:p>
    <w:p w14:paraId="68045D7D" w14:textId="77777777" w:rsidR="00DB6937" w:rsidRPr="00EE4197" w:rsidRDefault="00DB6937" w:rsidP="00F02C3C">
      <w:pPr>
        <w:autoSpaceDE w:val="0"/>
        <w:autoSpaceDN w:val="0"/>
        <w:adjustRightInd w:val="0"/>
        <w:spacing w:after="0" w:line="240" w:lineRule="auto"/>
        <w:jc w:val="center"/>
        <w:rPr>
          <w:rFonts w:cs="Calibri"/>
          <w:b/>
          <w:bCs/>
          <w:color w:val="000000"/>
          <w:sz w:val="28"/>
          <w:szCs w:val="28"/>
        </w:rPr>
      </w:pPr>
    </w:p>
    <w:p w14:paraId="0A836D2A" w14:textId="77777777" w:rsidR="00DB6937" w:rsidRPr="00EE4197" w:rsidRDefault="00DB6937" w:rsidP="00F02C3C">
      <w:pPr>
        <w:autoSpaceDE w:val="0"/>
        <w:autoSpaceDN w:val="0"/>
        <w:adjustRightInd w:val="0"/>
        <w:spacing w:after="0" w:line="240" w:lineRule="auto"/>
        <w:jc w:val="center"/>
        <w:rPr>
          <w:rFonts w:cs="Calibri"/>
          <w:b/>
          <w:bCs/>
          <w:color w:val="000000"/>
          <w:sz w:val="28"/>
          <w:szCs w:val="28"/>
        </w:rPr>
      </w:pPr>
    </w:p>
    <w:p w14:paraId="6EFF952F" w14:textId="77777777" w:rsidR="00DB6937" w:rsidRPr="00EE4197" w:rsidRDefault="00DB6937" w:rsidP="00F02C3C">
      <w:pPr>
        <w:autoSpaceDE w:val="0"/>
        <w:autoSpaceDN w:val="0"/>
        <w:adjustRightInd w:val="0"/>
        <w:spacing w:after="0" w:line="240" w:lineRule="auto"/>
        <w:jc w:val="center"/>
        <w:rPr>
          <w:rFonts w:cs="Calibri"/>
          <w:b/>
          <w:bCs/>
          <w:color w:val="000000"/>
          <w:sz w:val="28"/>
          <w:szCs w:val="28"/>
        </w:rPr>
      </w:pPr>
    </w:p>
    <w:p w14:paraId="5E0B1D5D" w14:textId="77777777" w:rsidR="00F02C3C" w:rsidRPr="00EE4197" w:rsidRDefault="00F02C3C" w:rsidP="00F02C3C">
      <w:pPr>
        <w:autoSpaceDE w:val="0"/>
        <w:autoSpaceDN w:val="0"/>
        <w:adjustRightInd w:val="0"/>
        <w:spacing w:after="0" w:line="240" w:lineRule="auto"/>
        <w:jc w:val="center"/>
        <w:rPr>
          <w:rFonts w:cs="Calibri"/>
          <w:b/>
          <w:bCs/>
          <w:color w:val="000000"/>
          <w:sz w:val="28"/>
          <w:szCs w:val="28"/>
        </w:rPr>
      </w:pPr>
    </w:p>
    <w:p w14:paraId="6B726B33" w14:textId="77777777" w:rsidR="00F02C3C" w:rsidRPr="00EE4197" w:rsidRDefault="00F02C3C" w:rsidP="00F02C3C">
      <w:pPr>
        <w:autoSpaceDE w:val="0"/>
        <w:autoSpaceDN w:val="0"/>
        <w:adjustRightInd w:val="0"/>
        <w:spacing w:after="0" w:line="240" w:lineRule="auto"/>
        <w:jc w:val="center"/>
        <w:rPr>
          <w:rFonts w:cs="Calibri"/>
          <w:color w:val="000000"/>
          <w:sz w:val="28"/>
          <w:szCs w:val="28"/>
        </w:rPr>
      </w:pPr>
    </w:p>
    <w:p w14:paraId="1F876B61" w14:textId="54680B21" w:rsidR="00F02C3C" w:rsidRPr="00EE4197" w:rsidRDefault="001823DA" w:rsidP="00887054">
      <w:pPr>
        <w:pStyle w:val="PlainText"/>
        <w:spacing w:line="240" w:lineRule="atLeast"/>
        <w:ind w:right="-61"/>
        <w:jc w:val="center"/>
        <w:rPr>
          <w:rFonts w:asciiTheme="minorHAnsi" w:hAnsiTheme="minorHAnsi" w:cs="Calibri"/>
          <w:b/>
          <w:bCs/>
          <w:color w:val="000000"/>
          <w:sz w:val="28"/>
          <w:szCs w:val="28"/>
        </w:rPr>
      </w:pPr>
      <w:r>
        <w:rPr>
          <w:rFonts w:asciiTheme="minorHAnsi" w:hAnsiTheme="minorHAnsi" w:cs="Calibri"/>
          <w:b/>
          <w:bCs/>
          <w:color w:val="000000"/>
          <w:sz w:val="28"/>
          <w:szCs w:val="28"/>
        </w:rPr>
        <w:t>June</w:t>
      </w:r>
      <w:r w:rsidR="00DE3547">
        <w:rPr>
          <w:rFonts w:asciiTheme="minorHAnsi" w:hAnsiTheme="minorHAnsi" w:cs="Calibri"/>
          <w:b/>
          <w:bCs/>
          <w:color w:val="000000"/>
          <w:sz w:val="28"/>
          <w:szCs w:val="28"/>
        </w:rPr>
        <w:t xml:space="preserve"> 2019</w:t>
      </w:r>
    </w:p>
    <w:p w14:paraId="292F38CA" w14:textId="77777777" w:rsidR="00F02C3C" w:rsidRPr="00EE4197" w:rsidRDefault="00F02C3C" w:rsidP="00F02C3C">
      <w:pPr>
        <w:pStyle w:val="PlainText"/>
        <w:spacing w:line="240" w:lineRule="atLeast"/>
        <w:ind w:right="-61"/>
        <w:rPr>
          <w:rFonts w:asciiTheme="minorHAnsi" w:hAnsiTheme="minorHAnsi" w:cs="Times New Roman"/>
          <w:b/>
          <w:sz w:val="20"/>
          <w:szCs w:val="20"/>
        </w:rPr>
      </w:pPr>
    </w:p>
    <w:p w14:paraId="13A25AFA" w14:textId="77777777" w:rsidR="00F02C3C" w:rsidRPr="00EE4197" w:rsidRDefault="00F02C3C" w:rsidP="00CB110A">
      <w:pPr>
        <w:pStyle w:val="PlainText"/>
        <w:spacing w:line="240" w:lineRule="atLeast"/>
        <w:ind w:right="-61"/>
        <w:rPr>
          <w:rFonts w:asciiTheme="minorHAnsi" w:hAnsiTheme="minorHAnsi" w:cs="Times New Roman"/>
          <w:b/>
          <w:sz w:val="20"/>
          <w:szCs w:val="20"/>
        </w:rPr>
        <w:sectPr w:rsidR="00F02C3C" w:rsidRPr="00EE4197" w:rsidSect="00DB6937">
          <w:headerReference w:type="default" r:id="rId8"/>
          <w:footerReference w:type="default" r:id="rId9"/>
          <w:pgSz w:w="12240" w:h="15840"/>
          <w:pgMar w:top="1440" w:right="1440" w:bottom="1440" w:left="1501" w:header="720" w:footer="720" w:gutter="0"/>
          <w:cols w:space="720"/>
          <w:titlePg/>
          <w:docGrid w:linePitch="360"/>
        </w:sectPr>
      </w:pPr>
    </w:p>
    <w:p w14:paraId="5688E822" w14:textId="77777777" w:rsidR="007C1078" w:rsidRDefault="00D243F3" w:rsidP="007C1078">
      <w:pPr>
        <w:pStyle w:val="PlainText"/>
        <w:spacing w:line="240" w:lineRule="atLeast"/>
        <w:ind w:right="-61"/>
        <w:rPr>
          <w:rFonts w:asciiTheme="minorHAnsi" w:hAnsiTheme="minorHAnsi" w:cs="Times New Roman"/>
          <w:b/>
          <w:sz w:val="20"/>
          <w:szCs w:val="20"/>
          <w:u w:val="single"/>
        </w:rPr>
      </w:pPr>
      <w:r w:rsidRPr="00EE4197">
        <w:rPr>
          <w:rFonts w:asciiTheme="minorHAnsi" w:hAnsiTheme="minorHAnsi" w:cs="Times New Roman"/>
          <w:b/>
          <w:sz w:val="20"/>
          <w:szCs w:val="20"/>
          <w:u w:val="single"/>
        </w:rPr>
        <w:lastRenderedPageBreak/>
        <w:t>Preface</w:t>
      </w:r>
    </w:p>
    <w:p w14:paraId="5D3E4CD9" w14:textId="77777777" w:rsidR="004E480F" w:rsidRPr="00EE4197" w:rsidRDefault="004E480F" w:rsidP="007C1078">
      <w:pPr>
        <w:pStyle w:val="PlainText"/>
        <w:spacing w:line="240" w:lineRule="atLeast"/>
        <w:ind w:right="-61"/>
        <w:rPr>
          <w:rFonts w:asciiTheme="minorHAnsi" w:hAnsiTheme="minorHAnsi" w:cs="Times New Roman"/>
          <w:b/>
          <w:sz w:val="20"/>
          <w:szCs w:val="20"/>
          <w:u w:val="single"/>
        </w:rPr>
      </w:pPr>
    </w:p>
    <w:p w14:paraId="3A16FB45" w14:textId="367FE115" w:rsidR="00D243F3" w:rsidRPr="00EE4197" w:rsidRDefault="00D243F3" w:rsidP="00D243F3">
      <w:pPr>
        <w:spacing w:after="0" w:line="240" w:lineRule="atLeast"/>
        <w:rPr>
          <w:rFonts w:cs="Arial"/>
          <w:sz w:val="20"/>
          <w:szCs w:val="20"/>
        </w:rPr>
      </w:pPr>
      <w:r w:rsidRPr="00EE4197">
        <w:rPr>
          <w:rFonts w:cs="Arial"/>
          <w:sz w:val="20"/>
          <w:szCs w:val="20"/>
        </w:rPr>
        <w:t xml:space="preserve">This document has been prepared as guidance for the Florida Department of Environmental Protection (FDEP), Division of Waste Management (DWM) Tallahassee staff and FDEP District Offices. </w:t>
      </w:r>
      <w:r w:rsidRPr="00EE4197">
        <w:rPr>
          <w:rFonts w:cs="Arial"/>
          <w:b/>
          <w:sz w:val="20"/>
          <w:szCs w:val="20"/>
        </w:rPr>
        <w:t>Nothing in this document should be construed as a uniform policy or rule</w:t>
      </w:r>
      <w:r w:rsidRPr="00EE4197">
        <w:rPr>
          <w:rFonts w:cs="Arial"/>
          <w:sz w:val="20"/>
          <w:szCs w:val="20"/>
        </w:rPr>
        <w:t xml:space="preserve"> (except for those rules specifically enumerated as such).</w:t>
      </w:r>
      <w:r w:rsidR="00FA749E">
        <w:rPr>
          <w:rFonts w:cs="Arial"/>
          <w:sz w:val="20"/>
          <w:szCs w:val="20"/>
        </w:rPr>
        <w:t xml:space="preserve"> </w:t>
      </w:r>
      <w:r w:rsidRPr="00EE4197">
        <w:rPr>
          <w:rFonts w:cs="Arial"/>
          <w:sz w:val="20"/>
          <w:szCs w:val="20"/>
        </w:rPr>
        <w:t xml:space="preserve">This document merely provides general information regarding </w:t>
      </w:r>
      <w:r w:rsidR="004D4884" w:rsidRPr="00EE4197">
        <w:rPr>
          <w:rFonts w:cs="Arial"/>
          <w:sz w:val="20"/>
          <w:szCs w:val="20"/>
        </w:rPr>
        <w:t>notification of establishment of a Temporary Point of Compliance</w:t>
      </w:r>
      <w:r w:rsidR="00DE3547">
        <w:rPr>
          <w:rFonts w:cs="Arial"/>
          <w:sz w:val="20"/>
          <w:szCs w:val="20"/>
        </w:rPr>
        <w:t xml:space="preserve"> (TPOC)</w:t>
      </w:r>
      <w:r w:rsidRPr="00EE4197">
        <w:rPr>
          <w:rFonts w:cs="Arial"/>
          <w:sz w:val="20"/>
          <w:szCs w:val="20"/>
        </w:rPr>
        <w:t xml:space="preserve"> and characterizes the DWM’s and the FDEP Office of General Counsel’s (OGC) experiences thus far in this area.</w:t>
      </w:r>
      <w:r w:rsidR="00FA749E">
        <w:rPr>
          <w:rFonts w:cs="Arial"/>
          <w:sz w:val="20"/>
          <w:szCs w:val="20"/>
        </w:rPr>
        <w:t xml:space="preserve"> </w:t>
      </w:r>
      <w:r w:rsidRPr="00EE4197">
        <w:rPr>
          <w:rFonts w:cs="Arial"/>
          <w:sz w:val="20"/>
          <w:szCs w:val="20"/>
        </w:rPr>
        <w:t>This guidance is provided in one document so that all FDEP staff has the same information upon which to base a decision.</w:t>
      </w:r>
      <w:r w:rsidR="00FA749E">
        <w:rPr>
          <w:rFonts w:cs="Arial"/>
          <w:sz w:val="20"/>
          <w:szCs w:val="20"/>
        </w:rPr>
        <w:t xml:space="preserve"> </w:t>
      </w:r>
      <w:r w:rsidRPr="00EE4197">
        <w:rPr>
          <w:rFonts w:cs="Arial"/>
          <w:sz w:val="20"/>
          <w:szCs w:val="20"/>
        </w:rPr>
        <w:t>Agency staff shall not cite this document as authority for taking or refusing to take any agency action.</w:t>
      </w:r>
      <w:r w:rsidR="00FA749E">
        <w:rPr>
          <w:rFonts w:cs="Arial"/>
          <w:sz w:val="20"/>
          <w:szCs w:val="20"/>
        </w:rPr>
        <w:t xml:space="preserve"> </w:t>
      </w:r>
      <w:r w:rsidRPr="00EE4197">
        <w:rPr>
          <w:rFonts w:cs="Arial"/>
          <w:sz w:val="20"/>
          <w:szCs w:val="20"/>
        </w:rPr>
        <w:t xml:space="preserve">It is anticipated that this document will also be used by those parties </w:t>
      </w:r>
      <w:r w:rsidR="004D4884" w:rsidRPr="00EE4197">
        <w:rPr>
          <w:rFonts w:cs="Arial"/>
          <w:sz w:val="20"/>
          <w:szCs w:val="20"/>
        </w:rPr>
        <w:t xml:space="preserve">proposing a </w:t>
      </w:r>
      <w:r w:rsidR="00DE3547">
        <w:rPr>
          <w:rFonts w:cs="Arial"/>
          <w:sz w:val="20"/>
          <w:szCs w:val="20"/>
        </w:rPr>
        <w:t>TPOC</w:t>
      </w:r>
      <w:r w:rsidRPr="00EE4197">
        <w:rPr>
          <w:rFonts w:cs="Arial"/>
          <w:sz w:val="20"/>
          <w:szCs w:val="20"/>
        </w:rPr>
        <w:t>, including responsible parties and owners, and their consultants and lawyers, among others.</w:t>
      </w:r>
      <w:r w:rsidR="00FA749E">
        <w:rPr>
          <w:rFonts w:cs="Arial"/>
          <w:sz w:val="20"/>
          <w:szCs w:val="20"/>
        </w:rPr>
        <w:t xml:space="preserve"> </w:t>
      </w:r>
      <w:r w:rsidRPr="00EE4197">
        <w:rPr>
          <w:rFonts w:cs="Arial"/>
          <w:sz w:val="20"/>
          <w:szCs w:val="20"/>
        </w:rPr>
        <w:t xml:space="preserve">Such use by those parties may facilitate an understanding of the </w:t>
      </w:r>
      <w:r w:rsidR="004D4884" w:rsidRPr="00EE4197">
        <w:rPr>
          <w:rFonts w:cs="Arial"/>
          <w:sz w:val="20"/>
          <w:szCs w:val="20"/>
        </w:rPr>
        <w:t xml:space="preserve">rule requirements and </w:t>
      </w:r>
      <w:r w:rsidRPr="00EE4197">
        <w:rPr>
          <w:rFonts w:cs="Arial"/>
          <w:sz w:val="20"/>
          <w:szCs w:val="20"/>
        </w:rPr>
        <w:t>FDEP</w:t>
      </w:r>
      <w:r w:rsidR="004D4884" w:rsidRPr="00EE4197">
        <w:rPr>
          <w:rFonts w:cs="Arial"/>
          <w:sz w:val="20"/>
          <w:szCs w:val="20"/>
        </w:rPr>
        <w:t>’s</w:t>
      </w:r>
      <w:r w:rsidRPr="00EE4197">
        <w:rPr>
          <w:rFonts w:cs="Arial"/>
          <w:sz w:val="20"/>
          <w:szCs w:val="20"/>
        </w:rPr>
        <w:t xml:space="preserve"> </w:t>
      </w:r>
      <w:r w:rsidR="004D4884" w:rsidRPr="00EE4197">
        <w:rPr>
          <w:rFonts w:cs="Arial"/>
          <w:sz w:val="20"/>
          <w:szCs w:val="20"/>
        </w:rPr>
        <w:t>interpretation of those requirements.</w:t>
      </w:r>
    </w:p>
    <w:p w14:paraId="1EB26920" w14:textId="77777777" w:rsidR="00D243F3" w:rsidRPr="00EE4197" w:rsidRDefault="00D243F3" w:rsidP="00D243F3">
      <w:pPr>
        <w:spacing w:after="0" w:line="240" w:lineRule="atLeast"/>
        <w:rPr>
          <w:rFonts w:cs="Arial"/>
          <w:sz w:val="20"/>
          <w:szCs w:val="20"/>
        </w:rPr>
      </w:pPr>
    </w:p>
    <w:p w14:paraId="329D0295" w14:textId="57BE1CAC" w:rsidR="007C1078" w:rsidRPr="00EE4197" w:rsidRDefault="00D243F3" w:rsidP="00E07400">
      <w:pPr>
        <w:pStyle w:val="PlainText"/>
        <w:spacing w:line="240" w:lineRule="atLeast"/>
        <w:ind w:right="-61"/>
        <w:rPr>
          <w:rFonts w:asciiTheme="minorHAnsi" w:hAnsiTheme="minorHAnsi" w:cs="Times New Roman"/>
          <w:sz w:val="20"/>
          <w:szCs w:val="20"/>
          <w:u w:val="single"/>
        </w:rPr>
      </w:pPr>
      <w:r w:rsidRPr="00EE4197">
        <w:rPr>
          <w:rFonts w:asciiTheme="minorHAnsi" w:hAnsiTheme="minorHAnsi" w:cs="Arial"/>
          <w:sz w:val="20"/>
          <w:szCs w:val="20"/>
        </w:rPr>
        <w:t>This document was prepared by the DWM and the OGC.</w:t>
      </w:r>
      <w:r w:rsidR="00FA749E">
        <w:rPr>
          <w:rFonts w:asciiTheme="minorHAnsi" w:hAnsiTheme="minorHAnsi" w:cs="Arial"/>
          <w:sz w:val="20"/>
          <w:szCs w:val="20"/>
        </w:rPr>
        <w:t xml:space="preserve"> </w:t>
      </w:r>
      <w:r w:rsidRPr="00EE4197">
        <w:rPr>
          <w:rFonts w:asciiTheme="minorHAnsi" w:hAnsiTheme="minorHAnsi" w:cs="Arial"/>
          <w:sz w:val="20"/>
          <w:szCs w:val="20"/>
        </w:rPr>
        <w:t>If you have any questions regarding the information contained in this document, please contact the appropriate program attorney and/or the appropriate technical supervisor in your section.</w:t>
      </w:r>
      <w:r w:rsidR="00FA749E">
        <w:rPr>
          <w:rFonts w:asciiTheme="minorHAnsi" w:hAnsiTheme="minorHAnsi" w:cs="Arial"/>
          <w:sz w:val="20"/>
          <w:szCs w:val="20"/>
        </w:rPr>
        <w:t xml:space="preserve"> </w:t>
      </w:r>
      <w:r w:rsidRPr="00EE4197">
        <w:rPr>
          <w:rFonts w:asciiTheme="minorHAnsi" w:hAnsiTheme="minorHAnsi" w:cs="Arial"/>
          <w:sz w:val="20"/>
          <w:szCs w:val="20"/>
        </w:rPr>
        <w:t>Likewise, if you have any insight or experience you believe should be included in a subsequent version of this document, please contact an attorney with the OGC, a Bureau Chief or a Waste Program Administrator.</w:t>
      </w:r>
    </w:p>
    <w:p w14:paraId="4C78E412" w14:textId="77777777" w:rsidR="007C1078" w:rsidRPr="00EE4197" w:rsidRDefault="007C1078" w:rsidP="007C1078">
      <w:pPr>
        <w:pStyle w:val="PlainText"/>
        <w:spacing w:line="240" w:lineRule="atLeast"/>
        <w:ind w:right="-61"/>
        <w:rPr>
          <w:rFonts w:asciiTheme="minorHAnsi" w:hAnsiTheme="minorHAnsi" w:cs="Times New Roman"/>
          <w:b/>
          <w:sz w:val="20"/>
          <w:szCs w:val="20"/>
          <w:u w:val="single"/>
        </w:rPr>
      </w:pPr>
    </w:p>
    <w:p w14:paraId="54D26D7D" w14:textId="77777777" w:rsidR="00046503" w:rsidRPr="00EE4197" w:rsidRDefault="000E35DD" w:rsidP="00EE4197">
      <w:pPr>
        <w:pStyle w:val="PlainText"/>
        <w:numPr>
          <w:ilvl w:val="0"/>
          <w:numId w:val="8"/>
        </w:numPr>
        <w:spacing w:line="240" w:lineRule="atLeast"/>
        <w:ind w:right="-61"/>
        <w:rPr>
          <w:rFonts w:asciiTheme="minorHAnsi" w:hAnsiTheme="minorHAnsi" w:cs="Times New Roman"/>
          <w:b/>
          <w:sz w:val="20"/>
          <w:szCs w:val="20"/>
          <w:u w:val="single"/>
        </w:rPr>
      </w:pPr>
      <w:r w:rsidRPr="00EE4197">
        <w:rPr>
          <w:rFonts w:asciiTheme="minorHAnsi" w:hAnsiTheme="minorHAnsi" w:cs="Times New Roman"/>
          <w:b/>
          <w:sz w:val="20"/>
          <w:szCs w:val="20"/>
          <w:u w:val="single"/>
        </w:rPr>
        <w:t>What is a</w:t>
      </w:r>
      <w:r w:rsidR="00C3253E" w:rsidRPr="00EE4197">
        <w:rPr>
          <w:rFonts w:asciiTheme="minorHAnsi" w:hAnsiTheme="minorHAnsi" w:cs="Times New Roman"/>
          <w:b/>
          <w:sz w:val="20"/>
          <w:szCs w:val="20"/>
          <w:u w:val="single"/>
        </w:rPr>
        <w:t xml:space="preserve"> Temporary Point of Compliance?</w:t>
      </w:r>
    </w:p>
    <w:p w14:paraId="27BF4448" w14:textId="77777777" w:rsidR="00233D13" w:rsidRPr="00EE4197" w:rsidRDefault="00233D13" w:rsidP="00233D13">
      <w:pPr>
        <w:pStyle w:val="PlainText"/>
        <w:spacing w:line="240" w:lineRule="atLeast"/>
        <w:ind w:right="-61"/>
        <w:rPr>
          <w:rFonts w:asciiTheme="minorHAnsi" w:hAnsiTheme="minorHAnsi" w:cs="Times New Roman"/>
          <w:sz w:val="20"/>
          <w:szCs w:val="20"/>
        </w:rPr>
      </w:pPr>
    </w:p>
    <w:p w14:paraId="6FAB38E6" w14:textId="5B3B0AFF" w:rsidR="00D243F3" w:rsidRPr="00EE4197" w:rsidRDefault="00D243F3" w:rsidP="00F24E6A">
      <w:pPr>
        <w:pStyle w:val="PlainText"/>
        <w:spacing w:line="240" w:lineRule="atLeast"/>
        <w:ind w:right="-61"/>
        <w:rPr>
          <w:rFonts w:asciiTheme="minorHAnsi" w:hAnsiTheme="minorHAnsi" w:cs="Times New Roman"/>
          <w:sz w:val="20"/>
          <w:szCs w:val="20"/>
          <w:u w:val="single"/>
        </w:rPr>
      </w:pPr>
      <w:r w:rsidRPr="00EE4197">
        <w:rPr>
          <w:rFonts w:asciiTheme="minorHAnsi" w:hAnsiTheme="minorHAnsi" w:cs="Times New Roman"/>
          <w:sz w:val="20"/>
          <w:szCs w:val="20"/>
          <w:u w:val="single"/>
        </w:rPr>
        <w:t>Site cleanup under Active Remediation (62-780.700) and Natural Attenuation Monitoring (62-780.690) require the establishment of a Temporary Point of Compliance (TPOC) (see 62-780.700(1) and 62-780.690(2)</w:t>
      </w:r>
      <w:r w:rsidR="00DE3547">
        <w:rPr>
          <w:rFonts w:asciiTheme="minorHAnsi" w:hAnsiTheme="minorHAnsi" w:cs="Times New Roman"/>
          <w:sz w:val="20"/>
          <w:szCs w:val="20"/>
          <w:u w:val="single"/>
        </w:rPr>
        <w:t>,</w:t>
      </w:r>
      <w:r w:rsidRPr="00EE4197">
        <w:rPr>
          <w:rFonts w:asciiTheme="minorHAnsi" w:hAnsiTheme="minorHAnsi" w:cs="Times New Roman"/>
          <w:sz w:val="20"/>
          <w:szCs w:val="20"/>
          <w:u w:val="single"/>
        </w:rPr>
        <w:t xml:space="preserve"> respectively.)</w:t>
      </w:r>
      <w:r w:rsidR="00FA749E">
        <w:rPr>
          <w:rFonts w:asciiTheme="minorHAnsi" w:hAnsiTheme="minorHAnsi" w:cs="Times New Roman"/>
          <w:sz w:val="20"/>
          <w:szCs w:val="20"/>
          <w:u w:val="single"/>
        </w:rPr>
        <w:t xml:space="preserve"> </w:t>
      </w:r>
      <w:r w:rsidRPr="00EE4197">
        <w:rPr>
          <w:rFonts w:asciiTheme="minorHAnsi" w:hAnsiTheme="minorHAnsi" w:cs="Times New Roman"/>
          <w:sz w:val="20"/>
          <w:szCs w:val="20"/>
          <w:u w:val="single"/>
        </w:rPr>
        <w:t>If the plume is known to extend off the source property, then public notice is required prior to approving the TPOC and associated Remedial Action Plan</w:t>
      </w:r>
      <w:r w:rsidR="00DE3547">
        <w:rPr>
          <w:rFonts w:asciiTheme="minorHAnsi" w:hAnsiTheme="minorHAnsi" w:cs="Times New Roman"/>
          <w:sz w:val="20"/>
          <w:szCs w:val="20"/>
          <w:u w:val="single"/>
        </w:rPr>
        <w:t xml:space="preserve"> (RAP)</w:t>
      </w:r>
      <w:r w:rsidRPr="00EE4197">
        <w:rPr>
          <w:rFonts w:asciiTheme="minorHAnsi" w:hAnsiTheme="minorHAnsi" w:cs="Times New Roman"/>
          <w:sz w:val="20"/>
          <w:szCs w:val="20"/>
          <w:u w:val="single"/>
        </w:rPr>
        <w:t xml:space="preserve"> or Natural Attenuation Monitoring Plan</w:t>
      </w:r>
      <w:r w:rsidR="00DE3547">
        <w:rPr>
          <w:rFonts w:asciiTheme="minorHAnsi" w:hAnsiTheme="minorHAnsi" w:cs="Times New Roman"/>
          <w:sz w:val="20"/>
          <w:szCs w:val="20"/>
          <w:u w:val="single"/>
        </w:rPr>
        <w:t xml:space="preserve"> (NAMP)</w:t>
      </w:r>
      <w:r w:rsidRPr="00EE4197">
        <w:rPr>
          <w:rFonts w:asciiTheme="minorHAnsi" w:hAnsiTheme="minorHAnsi" w:cs="Times New Roman"/>
          <w:sz w:val="20"/>
          <w:szCs w:val="20"/>
          <w:u w:val="single"/>
        </w:rPr>
        <w:t>.</w:t>
      </w:r>
      <w:r w:rsidR="00FA749E">
        <w:rPr>
          <w:rFonts w:asciiTheme="minorHAnsi" w:hAnsiTheme="minorHAnsi" w:cs="Times New Roman"/>
          <w:sz w:val="20"/>
          <w:szCs w:val="20"/>
          <w:u w:val="single"/>
        </w:rPr>
        <w:t xml:space="preserve"> </w:t>
      </w:r>
      <w:r w:rsidRPr="00EE4197">
        <w:rPr>
          <w:rFonts w:asciiTheme="minorHAnsi" w:hAnsiTheme="minorHAnsi" w:cs="Times New Roman"/>
          <w:sz w:val="20"/>
          <w:szCs w:val="20"/>
          <w:u w:val="single"/>
        </w:rPr>
        <w:t>This guidance describes the standard procedures for ensuring such notice is properly made and documented.</w:t>
      </w:r>
    </w:p>
    <w:p w14:paraId="16B2B8FB" w14:textId="77777777" w:rsidR="00D243F3" w:rsidRPr="00EE4197" w:rsidRDefault="00D243F3" w:rsidP="00F24E6A">
      <w:pPr>
        <w:pStyle w:val="PlainText"/>
        <w:spacing w:line="240" w:lineRule="atLeast"/>
        <w:ind w:right="-61"/>
        <w:rPr>
          <w:rFonts w:asciiTheme="minorHAnsi" w:hAnsiTheme="minorHAnsi" w:cs="Times New Roman"/>
          <w:sz w:val="20"/>
          <w:szCs w:val="20"/>
          <w:u w:val="single"/>
        </w:rPr>
      </w:pPr>
    </w:p>
    <w:p w14:paraId="616F3E89" w14:textId="059EB077" w:rsidR="00F24E6A" w:rsidRPr="00EE4197" w:rsidRDefault="00233D13" w:rsidP="00F24E6A">
      <w:pPr>
        <w:pStyle w:val="PlainText"/>
        <w:spacing w:line="240" w:lineRule="atLeast"/>
        <w:ind w:right="-61"/>
        <w:rPr>
          <w:rFonts w:asciiTheme="minorHAnsi" w:hAnsiTheme="minorHAnsi" w:cs="Times New Roman"/>
          <w:sz w:val="20"/>
          <w:szCs w:val="20"/>
        </w:rPr>
      </w:pPr>
      <w:r w:rsidRPr="00EE4197">
        <w:rPr>
          <w:rFonts w:asciiTheme="minorHAnsi" w:hAnsiTheme="minorHAnsi" w:cs="Times New Roman"/>
          <w:sz w:val="20"/>
          <w:szCs w:val="20"/>
        </w:rPr>
        <w:t>Section 376.30701(2)(b), Florida Statutes (F.S.)</w:t>
      </w:r>
      <w:r w:rsidR="00FF2096" w:rsidRPr="00EE4197">
        <w:rPr>
          <w:rFonts w:asciiTheme="minorHAnsi" w:hAnsiTheme="minorHAnsi" w:cs="Times New Roman"/>
          <w:sz w:val="20"/>
          <w:szCs w:val="20"/>
        </w:rPr>
        <w:t>,</w:t>
      </w:r>
      <w:r w:rsidRPr="00EE4197">
        <w:rPr>
          <w:rFonts w:asciiTheme="minorHAnsi" w:hAnsiTheme="minorHAnsi" w:cs="Times New Roman"/>
          <w:sz w:val="20"/>
          <w:szCs w:val="20"/>
        </w:rPr>
        <w:t xml:space="preserve"> establishes "the point of compliance at the source of contamination."</w:t>
      </w:r>
      <w:r w:rsidR="00FA749E">
        <w:rPr>
          <w:rFonts w:asciiTheme="minorHAnsi" w:hAnsiTheme="minorHAnsi" w:cs="Times New Roman"/>
          <w:sz w:val="20"/>
          <w:szCs w:val="20"/>
        </w:rPr>
        <w:t xml:space="preserve"> </w:t>
      </w:r>
      <w:r w:rsidRPr="00EE4197">
        <w:rPr>
          <w:rFonts w:asciiTheme="minorHAnsi" w:hAnsiTheme="minorHAnsi" w:cs="Times New Roman"/>
          <w:sz w:val="20"/>
          <w:szCs w:val="20"/>
        </w:rPr>
        <w:t xml:space="preserve">In other words, the Person Responsible for Site Rehabilitation (PRSR) must meet the </w:t>
      </w:r>
      <w:r w:rsidR="00FD47D4" w:rsidRPr="00EE4197">
        <w:rPr>
          <w:rFonts w:asciiTheme="minorHAnsi" w:hAnsiTheme="minorHAnsi" w:cs="Times New Roman"/>
          <w:sz w:val="20"/>
          <w:szCs w:val="20"/>
        </w:rPr>
        <w:t>Groundwater Cleanup Target Levels (</w:t>
      </w:r>
      <w:r w:rsidRPr="00EE4197">
        <w:rPr>
          <w:rFonts w:asciiTheme="minorHAnsi" w:hAnsiTheme="minorHAnsi" w:cs="Times New Roman"/>
          <w:sz w:val="20"/>
          <w:szCs w:val="20"/>
        </w:rPr>
        <w:t>GCTLs</w:t>
      </w:r>
      <w:r w:rsidR="00FD47D4" w:rsidRPr="00EE4197">
        <w:rPr>
          <w:rFonts w:asciiTheme="minorHAnsi" w:hAnsiTheme="minorHAnsi" w:cs="Times New Roman"/>
          <w:sz w:val="20"/>
          <w:szCs w:val="20"/>
        </w:rPr>
        <w:t>)</w:t>
      </w:r>
      <w:r w:rsidRPr="00EE4197">
        <w:rPr>
          <w:rFonts w:asciiTheme="minorHAnsi" w:hAnsiTheme="minorHAnsi" w:cs="Times New Roman"/>
          <w:sz w:val="20"/>
          <w:szCs w:val="20"/>
        </w:rPr>
        <w:t xml:space="preserve"> at the </w:t>
      </w:r>
      <w:r w:rsidR="00772F36" w:rsidRPr="00EE4197">
        <w:rPr>
          <w:rFonts w:asciiTheme="minorHAnsi" w:hAnsiTheme="minorHAnsi" w:cs="Times New Roman"/>
          <w:sz w:val="20"/>
          <w:szCs w:val="20"/>
        </w:rPr>
        <w:t>source of contamination</w:t>
      </w:r>
      <w:r w:rsidRPr="00EE4197">
        <w:rPr>
          <w:rFonts w:asciiTheme="minorHAnsi" w:hAnsiTheme="minorHAnsi" w:cs="Times New Roman"/>
          <w:sz w:val="20"/>
          <w:szCs w:val="20"/>
        </w:rPr>
        <w:t>.</w:t>
      </w:r>
      <w:r w:rsidR="00FA749E">
        <w:rPr>
          <w:rFonts w:asciiTheme="minorHAnsi" w:hAnsiTheme="minorHAnsi" w:cs="Times New Roman"/>
          <w:sz w:val="20"/>
          <w:szCs w:val="20"/>
        </w:rPr>
        <w:t xml:space="preserve"> </w:t>
      </w:r>
      <w:r w:rsidRPr="00EE4197">
        <w:rPr>
          <w:rFonts w:asciiTheme="minorHAnsi" w:hAnsiTheme="minorHAnsi" w:cs="Times New Roman"/>
          <w:sz w:val="20"/>
          <w:szCs w:val="20"/>
        </w:rPr>
        <w:t xml:space="preserve">However, the statute authorizes the </w:t>
      </w:r>
      <w:r w:rsidR="00DE3547">
        <w:rPr>
          <w:rFonts w:asciiTheme="minorHAnsi" w:hAnsiTheme="minorHAnsi" w:cs="Times New Roman"/>
          <w:sz w:val="20"/>
          <w:szCs w:val="20"/>
        </w:rPr>
        <w:t>FDEP</w:t>
      </w:r>
      <w:r w:rsidR="00DE3547" w:rsidRPr="00EE4197">
        <w:rPr>
          <w:rFonts w:asciiTheme="minorHAnsi" w:hAnsiTheme="minorHAnsi" w:cs="Times New Roman"/>
          <w:sz w:val="20"/>
          <w:szCs w:val="20"/>
        </w:rPr>
        <w:t xml:space="preserve"> </w:t>
      </w:r>
      <w:r w:rsidRPr="00EE4197">
        <w:rPr>
          <w:rFonts w:asciiTheme="minorHAnsi" w:hAnsiTheme="minorHAnsi" w:cs="Times New Roman"/>
          <w:sz w:val="20"/>
          <w:szCs w:val="20"/>
        </w:rPr>
        <w:t xml:space="preserve">to extend the point of compliance beyond the source area </w:t>
      </w:r>
      <w:r w:rsidRPr="00EE4197">
        <w:rPr>
          <w:rFonts w:asciiTheme="minorHAnsi" w:hAnsiTheme="minorHAnsi" w:cs="Times New Roman"/>
          <w:i/>
          <w:sz w:val="20"/>
          <w:szCs w:val="20"/>
        </w:rPr>
        <w:t>temporarily</w:t>
      </w:r>
      <w:r w:rsidRPr="00EE4197">
        <w:rPr>
          <w:rFonts w:asciiTheme="minorHAnsi" w:hAnsiTheme="minorHAnsi" w:cs="Times New Roman"/>
          <w:sz w:val="20"/>
          <w:szCs w:val="20"/>
        </w:rPr>
        <w:t xml:space="preserve"> while cleanup is underway.</w:t>
      </w:r>
      <w:r w:rsidR="00FA749E">
        <w:rPr>
          <w:rFonts w:asciiTheme="minorHAnsi" w:hAnsiTheme="minorHAnsi" w:cs="Times New Roman"/>
          <w:sz w:val="20"/>
          <w:szCs w:val="20"/>
        </w:rPr>
        <w:t xml:space="preserve"> </w:t>
      </w:r>
      <w:r w:rsidR="00366AF1" w:rsidRPr="00EE4197">
        <w:rPr>
          <w:rFonts w:asciiTheme="minorHAnsi" w:hAnsiTheme="minorHAnsi" w:cs="Times New Roman"/>
          <w:sz w:val="20"/>
          <w:szCs w:val="20"/>
        </w:rPr>
        <w:t xml:space="preserve">A TPOC is an </w:t>
      </w:r>
      <w:r w:rsidR="00366AF1" w:rsidRPr="00542F7E">
        <w:rPr>
          <w:rFonts w:asciiTheme="minorHAnsi" w:hAnsiTheme="minorHAnsi" w:cs="Times New Roman"/>
          <w:sz w:val="20"/>
          <w:szCs w:val="20"/>
        </w:rPr>
        <w:t>“imaginary”</w:t>
      </w:r>
      <w:r w:rsidR="00366AF1" w:rsidRPr="00EE4197">
        <w:rPr>
          <w:rFonts w:asciiTheme="minorHAnsi" w:hAnsiTheme="minorHAnsi" w:cs="Times New Roman"/>
          <w:sz w:val="20"/>
          <w:szCs w:val="20"/>
        </w:rPr>
        <w:t xml:space="preserve"> line established to depict the maximum extent to which a contaminant plume </w:t>
      </w:r>
      <w:proofErr w:type="gramStart"/>
      <w:r w:rsidR="00366AF1" w:rsidRPr="00EE4197">
        <w:rPr>
          <w:rFonts w:asciiTheme="minorHAnsi" w:hAnsiTheme="minorHAnsi" w:cs="Times New Roman"/>
          <w:sz w:val="20"/>
          <w:szCs w:val="20"/>
        </w:rPr>
        <w:t xml:space="preserve">is allowed </w:t>
      </w:r>
      <w:r w:rsidR="0006703A">
        <w:rPr>
          <w:rFonts w:asciiTheme="minorHAnsi" w:hAnsiTheme="minorHAnsi" w:cs="Times New Roman"/>
          <w:sz w:val="20"/>
          <w:szCs w:val="20"/>
        </w:rPr>
        <w:t>t</w:t>
      </w:r>
      <w:r w:rsidR="00366AF1" w:rsidRPr="00EE4197">
        <w:rPr>
          <w:rFonts w:asciiTheme="minorHAnsi" w:hAnsiTheme="minorHAnsi" w:cs="Times New Roman"/>
          <w:sz w:val="20"/>
          <w:szCs w:val="20"/>
        </w:rPr>
        <w:t>o</w:t>
      </w:r>
      <w:proofErr w:type="gramEnd"/>
      <w:r w:rsidR="00366AF1" w:rsidRPr="00EE4197">
        <w:rPr>
          <w:rFonts w:asciiTheme="minorHAnsi" w:hAnsiTheme="minorHAnsi" w:cs="Times New Roman"/>
          <w:sz w:val="20"/>
          <w:szCs w:val="20"/>
        </w:rPr>
        <w:t xml:space="preserve"> extend during site rehabilitation.</w:t>
      </w:r>
      <w:r w:rsidR="00FA749E">
        <w:rPr>
          <w:rFonts w:asciiTheme="minorHAnsi" w:hAnsiTheme="minorHAnsi" w:cs="Times New Roman"/>
          <w:sz w:val="20"/>
          <w:szCs w:val="20"/>
        </w:rPr>
        <w:t xml:space="preserve"> </w:t>
      </w:r>
      <w:r w:rsidR="00366AF1" w:rsidRPr="00EE4197">
        <w:rPr>
          <w:rFonts w:asciiTheme="minorHAnsi" w:hAnsiTheme="minorHAnsi" w:cs="Times New Roman"/>
          <w:sz w:val="20"/>
          <w:szCs w:val="20"/>
        </w:rPr>
        <w:t xml:space="preserve">The primary purpose of a TPOC is to </w:t>
      </w:r>
      <w:r w:rsidR="00D106B2" w:rsidRPr="00EE4197">
        <w:rPr>
          <w:rFonts w:asciiTheme="minorHAnsi" w:hAnsiTheme="minorHAnsi" w:cs="Times New Roman"/>
          <w:sz w:val="20"/>
          <w:szCs w:val="20"/>
        </w:rPr>
        <w:t xml:space="preserve">provide notice </w:t>
      </w:r>
      <w:r w:rsidR="00423A43" w:rsidRPr="00EE4197">
        <w:rPr>
          <w:rFonts w:asciiTheme="minorHAnsi" w:hAnsiTheme="minorHAnsi" w:cs="Times New Roman"/>
          <w:sz w:val="20"/>
          <w:szCs w:val="20"/>
        </w:rPr>
        <w:t xml:space="preserve">to potentially affected parties of the extent of groundwater contamination at the time </w:t>
      </w:r>
      <w:r w:rsidR="00D106B2" w:rsidRPr="00EE4197">
        <w:rPr>
          <w:rFonts w:asciiTheme="minorHAnsi" w:hAnsiTheme="minorHAnsi" w:cs="Times New Roman"/>
          <w:sz w:val="20"/>
          <w:szCs w:val="20"/>
        </w:rPr>
        <w:t xml:space="preserve">of the </w:t>
      </w:r>
      <w:r w:rsidR="00DE3547">
        <w:rPr>
          <w:rFonts w:asciiTheme="minorHAnsi" w:hAnsiTheme="minorHAnsi" w:cs="Times New Roman"/>
          <w:sz w:val="20"/>
          <w:szCs w:val="20"/>
        </w:rPr>
        <w:t>FDEP’s</w:t>
      </w:r>
      <w:r w:rsidR="00DE3547" w:rsidRPr="00EE4197">
        <w:rPr>
          <w:rFonts w:asciiTheme="minorHAnsi" w:hAnsiTheme="minorHAnsi" w:cs="Times New Roman"/>
          <w:sz w:val="20"/>
          <w:szCs w:val="20"/>
        </w:rPr>
        <w:t xml:space="preserve"> </w:t>
      </w:r>
      <w:r w:rsidR="00D106B2" w:rsidRPr="00EE4197">
        <w:rPr>
          <w:rFonts w:asciiTheme="minorHAnsi" w:hAnsiTheme="minorHAnsi" w:cs="Times New Roman"/>
          <w:sz w:val="20"/>
          <w:szCs w:val="20"/>
        </w:rPr>
        <w:t xml:space="preserve">approval of a </w:t>
      </w:r>
      <w:r w:rsidR="00423A43" w:rsidRPr="00EE4197">
        <w:rPr>
          <w:rFonts w:asciiTheme="minorHAnsi" w:hAnsiTheme="minorHAnsi" w:cs="Times New Roman"/>
          <w:sz w:val="20"/>
          <w:szCs w:val="20"/>
        </w:rPr>
        <w:t xml:space="preserve">RAP </w:t>
      </w:r>
      <w:r w:rsidR="00D106B2" w:rsidRPr="00EE4197">
        <w:rPr>
          <w:rFonts w:asciiTheme="minorHAnsi" w:hAnsiTheme="minorHAnsi" w:cs="Times New Roman"/>
          <w:sz w:val="20"/>
          <w:szCs w:val="20"/>
        </w:rPr>
        <w:t xml:space="preserve">or </w:t>
      </w:r>
      <w:r w:rsidR="00423A43" w:rsidRPr="00EE4197">
        <w:rPr>
          <w:rFonts w:asciiTheme="minorHAnsi" w:hAnsiTheme="minorHAnsi" w:cs="Times New Roman"/>
          <w:sz w:val="20"/>
          <w:szCs w:val="20"/>
        </w:rPr>
        <w:t>NAMP.</w:t>
      </w:r>
      <w:r w:rsidR="00366AF1" w:rsidRPr="00EE4197">
        <w:rPr>
          <w:rFonts w:asciiTheme="minorHAnsi" w:hAnsiTheme="minorHAnsi" w:cs="Times New Roman"/>
          <w:sz w:val="20"/>
          <w:szCs w:val="20"/>
        </w:rPr>
        <w:t xml:space="preserve"> </w:t>
      </w:r>
    </w:p>
    <w:p w14:paraId="03BF074F" w14:textId="77777777" w:rsidR="0031090F" w:rsidRPr="00EE4197" w:rsidRDefault="0031090F" w:rsidP="00F24E6A">
      <w:pPr>
        <w:pStyle w:val="PlainText"/>
        <w:spacing w:line="240" w:lineRule="atLeast"/>
        <w:ind w:right="-61"/>
        <w:rPr>
          <w:rFonts w:asciiTheme="minorHAnsi" w:hAnsiTheme="minorHAnsi" w:cs="Times New Roman"/>
          <w:sz w:val="20"/>
          <w:szCs w:val="20"/>
        </w:rPr>
      </w:pPr>
    </w:p>
    <w:p w14:paraId="528806A3" w14:textId="6E1A2BA5" w:rsidR="00A84BE7" w:rsidRPr="00EE4197" w:rsidRDefault="0031090F" w:rsidP="00F24E6A">
      <w:pPr>
        <w:pStyle w:val="PlainText"/>
        <w:spacing w:line="240" w:lineRule="atLeast"/>
        <w:ind w:right="-61"/>
        <w:rPr>
          <w:rFonts w:asciiTheme="minorHAnsi" w:hAnsiTheme="minorHAnsi" w:cs="Times New Roman"/>
          <w:sz w:val="20"/>
          <w:szCs w:val="20"/>
        </w:rPr>
      </w:pPr>
      <w:r w:rsidRPr="00EE4197">
        <w:rPr>
          <w:rFonts w:asciiTheme="minorHAnsi" w:hAnsiTheme="minorHAnsi" w:cs="Times New Roman"/>
          <w:sz w:val="20"/>
          <w:szCs w:val="20"/>
        </w:rPr>
        <w:t xml:space="preserve">A TPOC is </w:t>
      </w:r>
      <w:r w:rsidR="002C5151" w:rsidRPr="00EE4197">
        <w:rPr>
          <w:rFonts w:asciiTheme="minorHAnsi" w:hAnsiTheme="minorHAnsi" w:cs="Times New Roman"/>
          <w:sz w:val="20"/>
          <w:szCs w:val="20"/>
        </w:rPr>
        <w:t>the location</w:t>
      </w:r>
      <w:r w:rsidRPr="00EE4197">
        <w:rPr>
          <w:rFonts w:asciiTheme="minorHAnsi" w:hAnsiTheme="minorHAnsi" w:cs="Times New Roman"/>
          <w:sz w:val="20"/>
          <w:szCs w:val="20"/>
        </w:rPr>
        <w:t xml:space="preserve"> </w:t>
      </w:r>
      <w:r w:rsidR="002A6EEB" w:rsidRPr="00EE4197">
        <w:rPr>
          <w:rFonts w:asciiTheme="minorHAnsi" w:hAnsiTheme="minorHAnsi" w:cs="Times New Roman"/>
          <w:sz w:val="20"/>
          <w:szCs w:val="20"/>
        </w:rPr>
        <w:t xml:space="preserve">beyond which </w:t>
      </w:r>
      <w:r w:rsidR="00796BA8" w:rsidRPr="00EE4197">
        <w:rPr>
          <w:rFonts w:asciiTheme="minorHAnsi" w:hAnsiTheme="minorHAnsi" w:cs="Times New Roman"/>
          <w:sz w:val="20"/>
          <w:szCs w:val="20"/>
        </w:rPr>
        <w:t>a</w:t>
      </w:r>
      <w:r w:rsidR="000A4541" w:rsidRPr="00EE4197">
        <w:rPr>
          <w:rFonts w:asciiTheme="minorHAnsi" w:hAnsiTheme="minorHAnsi" w:cs="Times New Roman"/>
          <w:sz w:val="20"/>
          <w:szCs w:val="20"/>
        </w:rPr>
        <w:t xml:space="preserve"> site’s </w:t>
      </w:r>
      <w:r w:rsidRPr="00EE4197">
        <w:rPr>
          <w:rFonts w:asciiTheme="minorHAnsi" w:hAnsiTheme="minorHAnsi" w:cs="Times New Roman"/>
          <w:sz w:val="20"/>
          <w:szCs w:val="20"/>
        </w:rPr>
        <w:t>contaminant</w:t>
      </w:r>
      <w:r w:rsidR="000A4541" w:rsidRPr="00EE4197">
        <w:rPr>
          <w:rFonts w:asciiTheme="minorHAnsi" w:hAnsiTheme="minorHAnsi" w:cs="Times New Roman"/>
          <w:sz w:val="20"/>
          <w:szCs w:val="20"/>
        </w:rPr>
        <w:t>s</w:t>
      </w:r>
      <w:r w:rsidRPr="00EE4197">
        <w:rPr>
          <w:rFonts w:asciiTheme="minorHAnsi" w:hAnsiTheme="minorHAnsi" w:cs="Times New Roman"/>
          <w:sz w:val="20"/>
          <w:szCs w:val="20"/>
        </w:rPr>
        <w:t xml:space="preserve"> of concern (COC</w:t>
      </w:r>
      <w:r w:rsidR="00E20E3E" w:rsidRPr="00EE4197">
        <w:rPr>
          <w:rFonts w:asciiTheme="minorHAnsi" w:hAnsiTheme="minorHAnsi" w:cs="Times New Roman"/>
          <w:sz w:val="20"/>
          <w:szCs w:val="20"/>
        </w:rPr>
        <w:t>s</w:t>
      </w:r>
      <w:r w:rsidRPr="00EE4197">
        <w:rPr>
          <w:rFonts w:asciiTheme="minorHAnsi" w:hAnsiTheme="minorHAnsi" w:cs="Times New Roman"/>
          <w:sz w:val="20"/>
          <w:szCs w:val="20"/>
        </w:rPr>
        <w:t xml:space="preserve">) concentrations in groundwater </w:t>
      </w:r>
      <w:r w:rsidR="00D61839" w:rsidRPr="00EE4197">
        <w:rPr>
          <w:rFonts w:asciiTheme="minorHAnsi" w:hAnsiTheme="minorHAnsi" w:cs="Times New Roman"/>
          <w:sz w:val="20"/>
          <w:szCs w:val="20"/>
        </w:rPr>
        <w:t xml:space="preserve">do not </w:t>
      </w:r>
      <w:r w:rsidR="002A6EEB" w:rsidRPr="00EE4197">
        <w:rPr>
          <w:rFonts w:asciiTheme="minorHAnsi" w:hAnsiTheme="minorHAnsi" w:cs="Times New Roman"/>
          <w:sz w:val="20"/>
          <w:szCs w:val="20"/>
        </w:rPr>
        <w:t>exceed</w:t>
      </w:r>
      <w:r w:rsidRPr="00EE4197">
        <w:rPr>
          <w:rFonts w:asciiTheme="minorHAnsi" w:hAnsiTheme="minorHAnsi" w:cs="Times New Roman"/>
          <w:sz w:val="20"/>
          <w:szCs w:val="20"/>
        </w:rPr>
        <w:t xml:space="preserve"> GCTLs</w:t>
      </w:r>
      <w:r w:rsidR="00D235DB" w:rsidRPr="00EE4197">
        <w:rPr>
          <w:rFonts w:asciiTheme="minorHAnsi" w:hAnsiTheme="minorHAnsi" w:cs="Times New Roman"/>
          <w:sz w:val="20"/>
          <w:szCs w:val="20"/>
        </w:rPr>
        <w:t>.</w:t>
      </w:r>
      <w:r w:rsidR="00FA749E">
        <w:rPr>
          <w:rFonts w:asciiTheme="minorHAnsi" w:hAnsiTheme="minorHAnsi" w:cs="Times New Roman"/>
          <w:sz w:val="20"/>
          <w:szCs w:val="20"/>
        </w:rPr>
        <w:t xml:space="preserve"> </w:t>
      </w:r>
      <w:r w:rsidR="00763221" w:rsidRPr="00EE4197">
        <w:rPr>
          <w:rFonts w:asciiTheme="minorHAnsi" w:hAnsiTheme="minorHAnsi" w:cs="Times New Roman"/>
          <w:sz w:val="20"/>
          <w:szCs w:val="20"/>
        </w:rPr>
        <w:t xml:space="preserve">The TPOC is not drawn per constituent but </w:t>
      </w:r>
      <w:r w:rsidRPr="00EE4197">
        <w:rPr>
          <w:rFonts w:asciiTheme="minorHAnsi" w:hAnsiTheme="minorHAnsi" w:cs="Times New Roman"/>
          <w:sz w:val="20"/>
          <w:szCs w:val="20"/>
        </w:rPr>
        <w:t xml:space="preserve">is the </w:t>
      </w:r>
      <w:r w:rsidR="00763221" w:rsidRPr="00EE4197">
        <w:rPr>
          <w:rFonts w:asciiTheme="minorHAnsi" w:hAnsiTheme="minorHAnsi" w:cs="Times New Roman"/>
          <w:sz w:val="20"/>
          <w:szCs w:val="20"/>
        </w:rPr>
        <w:t>outer</w:t>
      </w:r>
      <w:r w:rsidRPr="00EE4197">
        <w:rPr>
          <w:rFonts w:asciiTheme="minorHAnsi" w:hAnsiTheme="minorHAnsi" w:cs="Times New Roman"/>
          <w:sz w:val="20"/>
          <w:szCs w:val="20"/>
        </w:rPr>
        <w:t xml:space="preserve">most composite plume </w:t>
      </w:r>
      <w:r w:rsidR="002A6EEB" w:rsidRPr="00EE4197">
        <w:rPr>
          <w:rFonts w:asciiTheme="minorHAnsi" w:hAnsiTheme="minorHAnsi" w:cs="Times New Roman"/>
          <w:sz w:val="20"/>
          <w:szCs w:val="20"/>
        </w:rPr>
        <w:t>boundary</w:t>
      </w:r>
      <w:r w:rsidRPr="00EE4197">
        <w:rPr>
          <w:rFonts w:asciiTheme="minorHAnsi" w:hAnsiTheme="minorHAnsi" w:cs="Times New Roman"/>
          <w:sz w:val="20"/>
          <w:szCs w:val="20"/>
        </w:rPr>
        <w:t>.</w:t>
      </w:r>
      <w:r w:rsidR="00FA749E">
        <w:rPr>
          <w:rFonts w:asciiTheme="minorHAnsi" w:hAnsiTheme="minorHAnsi" w:cs="Times New Roman"/>
          <w:sz w:val="20"/>
          <w:szCs w:val="20"/>
        </w:rPr>
        <w:t xml:space="preserve"> </w:t>
      </w:r>
      <w:r w:rsidR="00C272C5" w:rsidRPr="00EE4197">
        <w:rPr>
          <w:rFonts w:asciiTheme="minorHAnsi" w:hAnsiTheme="minorHAnsi" w:cs="Times New Roman"/>
          <w:sz w:val="20"/>
          <w:szCs w:val="20"/>
        </w:rPr>
        <w:t xml:space="preserve"> It is not a technical determination about a single point in the environment or on a map.</w:t>
      </w:r>
      <w:r w:rsidR="00FA749E">
        <w:rPr>
          <w:rFonts w:asciiTheme="minorHAnsi" w:hAnsiTheme="minorHAnsi" w:cs="Times New Roman"/>
          <w:sz w:val="20"/>
          <w:szCs w:val="20"/>
        </w:rPr>
        <w:t xml:space="preserve"> </w:t>
      </w:r>
      <w:r w:rsidR="00A84BE7" w:rsidRPr="00EE4197">
        <w:rPr>
          <w:rFonts w:asciiTheme="minorHAnsi" w:hAnsiTheme="minorHAnsi" w:cs="Times New Roman"/>
          <w:sz w:val="20"/>
          <w:szCs w:val="20"/>
        </w:rPr>
        <w:t xml:space="preserve">A TPOC </w:t>
      </w:r>
      <w:r w:rsidR="00366AF1" w:rsidRPr="00EE4197">
        <w:rPr>
          <w:rFonts w:asciiTheme="minorHAnsi" w:hAnsiTheme="minorHAnsi" w:cs="Times New Roman"/>
          <w:sz w:val="20"/>
          <w:szCs w:val="20"/>
        </w:rPr>
        <w:t xml:space="preserve">may be proposed in a </w:t>
      </w:r>
      <w:r w:rsidR="00EC22CF" w:rsidRPr="00EE4197">
        <w:rPr>
          <w:rFonts w:asciiTheme="minorHAnsi" w:hAnsiTheme="minorHAnsi" w:cs="Times New Roman"/>
          <w:sz w:val="20"/>
          <w:szCs w:val="20"/>
        </w:rPr>
        <w:t>RAP</w:t>
      </w:r>
      <w:r w:rsidR="009D7C6F" w:rsidRPr="00EE4197">
        <w:rPr>
          <w:rFonts w:asciiTheme="minorHAnsi" w:hAnsiTheme="minorHAnsi" w:cs="Times New Roman"/>
          <w:sz w:val="20"/>
          <w:szCs w:val="20"/>
        </w:rPr>
        <w:t xml:space="preserve"> </w:t>
      </w:r>
      <w:r w:rsidR="00366AF1" w:rsidRPr="00EE4197">
        <w:rPr>
          <w:rFonts w:asciiTheme="minorHAnsi" w:hAnsiTheme="minorHAnsi" w:cs="Times New Roman"/>
          <w:sz w:val="20"/>
          <w:szCs w:val="20"/>
        </w:rPr>
        <w:t xml:space="preserve">or </w:t>
      </w:r>
      <w:r w:rsidR="00EC22CF" w:rsidRPr="00EE4197">
        <w:rPr>
          <w:rFonts w:asciiTheme="minorHAnsi" w:hAnsiTheme="minorHAnsi" w:cs="Times New Roman"/>
          <w:sz w:val="20"/>
          <w:szCs w:val="20"/>
        </w:rPr>
        <w:t xml:space="preserve">NAMP </w:t>
      </w:r>
      <w:r w:rsidR="00366AF1" w:rsidRPr="00EE4197">
        <w:rPr>
          <w:rFonts w:asciiTheme="minorHAnsi" w:hAnsiTheme="minorHAnsi" w:cs="Times New Roman"/>
          <w:sz w:val="20"/>
          <w:szCs w:val="20"/>
        </w:rPr>
        <w:t xml:space="preserve">and may be </w:t>
      </w:r>
      <w:r w:rsidR="00A84BE7" w:rsidRPr="00EE4197">
        <w:rPr>
          <w:rFonts w:asciiTheme="minorHAnsi" w:hAnsiTheme="minorHAnsi" w:cs="Times New Roman"/>
          <w:sz w:val="20"/>
          <w:szCs w:val="20"/>
        </w:rPr>
        <w:t>established i</w:t>
      </w:r>
      <w:r w:rsidR="00FD47D4" w:rsidRPr="00EE4197">
        <w:rPr>
          <w:rFonts w:asciiTheme="minorHAnsi" w:hAnsiTheme="minorHAnsi" w:cs="Times New Roman"/>
          <w:sz w:val="20"/>
          <w:szCs w:val="20"/>
        </w:rPr>
        <w:t>n</w:t>
      </w:r>
      <w:r w:rsidR="00A84BE7" w:rsidRPr="00EE4197">
        <w:rPr>
          <w:rFonts w:asciiTheme="minorHAnsi" w:hAnsiTheme="minorHAnsi" w:cs="Times New Roman"/>
          <w:sz w:val="20"/>
          <w:szCs w:val="20"/>
        </w:rPr>
        <w:t xml:space="preserve"> </w:t>
      </w:r>
      <w:r w:rsidR="00D669AF" w:rsidRPr="00EE4197">
        <w:rPr>
          <w:rFonts w:asciiTheme="minorHAnsi" w:hAnsiTheme="minorHAnsi" w:cs="Times New Roman"/>
          <w:sz w:val="20"/>
          <w:szCs w:val="20"/>
        </w:rPr>
        <w:t>the</w:t>
      </w:r>
      <w:r w:rsidR="004F1840" w:rsidRPr="00EE4197">
        <w:rPr>
          <w:rFonts w:asciiTheme="minorHAnsi" w:hAnsiTheme="minorHAnsi" w:cs="Times New Roman"/>
          <w:sz w:val="20"/>
          <w:szCs w:val="20"/>
        </w:rPr>
        <w:t xml:space="preserve"> </w:t>
      </w:r>
      <w:r w:rsidR="00366AF1" w:rsidRPr="00EE4197">
        <w:rPr>
          <w:rFonts w:asciiTheme="minorHAnsi" w:hAnsiTheme="minorHAnsi" w:cs="Times New Roman"/>
          <w:sz w:val="20"/>
          <w:szCs w:val="20"/>
        </w:rPr>
        <w:t>respective approval order</w:t>
      </w:r>
      <w:r w:rsidR="00A84BE7" w:rsidRPr="00EE4197">
        <w:rPr>
          <w:rFonts w:asciiTheme="minorHAnsi" w:hAnsiTheme="minorHAnsi" w:cs="Times New Roman"/>
          <w:sz w:val="20"/>
          <w:szCs w:val="20"/>
        </w:rPr>
        <w:t>.</w:t>
      </w:r>
    </w:p>
    <w:p w14:paraId="47738A1C" w14:textId="77777777" w:rsidR="00A84BE7" w:rsidRPr="00EE4197" w:rsidRDefault="00A84BE7" w:rsidP="00F24E6A">
      <w:pPr>
        <w:pStyle w:val="PlainText"/>
        <w:spacing w:line="240" w:lineRule="atLeast"/>
        <w:ind w:right="-61"/>
        <w:rPr>
          <w:rFonts w:asciiTheme="minorHAnsi" w:hAnsiTheme="minorHAnsi" w:cs="Times New Roman"/>
          <w:sz w:val="20"/>
          <w:szCs w:val="20"/>
        </w:rPr>
      </w:pPr>
    </w:p>
    <w:p w14:paraId="3686276B" w14:textId="7D09474F" w:rsidR="00F24E6A" w:rsidRPr="00EE4197" w:rsidRDefault="0031090F" w:rsidP="00F24E6A">
      <w:pPr>
        <w:pStyle w:val="PlainText"/>
        <w:spacing w:line="240" w:lineRule="atLeast"/>
        <w:ind w:right="-61"/>
        <w:rPr>
          <w:rFonts w:asciiTheme="minorHAnsi" w:hAnsiTheme="minorHAnsi" w:cs="Times New Roman"/>
          <w:sz w:val="20"/>
          <w:szCs w:val="20"/>
        </w:rPr>
      </w:pPr>
      <w:r w:rsidRPr="00EE4197">
        <w:rPr>
          <w:rFonts w:asciiTheme="minorHAnsi" w:hAnsiTheme="minorHAnsi" w:cs="Times New Roman"/>
          <w:sz w:val="20"/>
          <w:szCs w:val="20"/>
        </w:rPr>
        <w:t>A</w:t>
      </w:r>
      <w:r w:rsidR="00F24E6A" w:rsidRPr="00EE4197">
        <w:rPr>
          <w:rFonts w:asciiTheme="minorHAnsi" w:hAnsiTheme="minorHAnsi" w:cs="Times New Roman"/>
          <w:sz w:val="20"/>
          <w:szCs w:val="20"/>
        </w:rPr>
        <w:t xml:space="preserve"> TPOC may </w:t>
      </w:r>
      <w:r w:rsidR="00C272C5" w:rsidRPr="00EE4197">
        <w:rPr>
          <w:rFonts w:asciiTheme="minorHAnsi" w:hAnsiTheme="minorHAnsi" w:cs="Times New Roman"/>
          <w:sz w:val="20"/>
          <w:szCs w:val="20"/>
        </w:rPr>
        <w:t xml:space="preserve">only </w:t>
      </w:r>
      <w:r w:rsidR="00F24E6A" w:rsidRPr="00EE4197">
        <w:rPr>
          <w:rFonts w:asciiTheme="minorHAnsi" w:hAnsiTheme="minorHAnsi" w:cs="Times New Roman"/>
          <w:sz w:val="20"/>
          <w:szCs w:val="20"/>
        </w:rPr>
        <w:t xml:space="preserve">be moved beyond the property boundary </w:t>
      </w:r>
      <w:r w:rsidR="00F24E6A" w:rsidRPr="00EE4197">
        <w:rPr>
          <w:rFonts w:asciiTheme="minorHAnsi" w:hAnsiTheme="minorHAnsi"/>
          <w:sz w:val="20"/>
          <w:szCs w:val="20"/>
        </w:rPr>
        <w:t>to facilitate natural attenuation or to address the current conditions of the plume</w:t>
      </w:r>
      <w:r w:rsidR="00F24E6A" w:rsidRPr="00EE4197">
        <w:rPr>
          <w:rFonts w:asciiTheme="minorHAnsi" w:hAnsiTheme="minorHAnsi" w:cs="Times New Roman"/>
          <w:sz w:val="20"/>
          <w:szCs w:val="20"/>
        </w:rPr>
        <w:t xml:space="preserve">, </w:t>
      </w:r>
      <w:r w:rsidR="00F24E6A" w:rsidRPr="00EE4197">
        <w:rPr>
          <w:rFonts w:asciiTheme="minorHAnsi" w:hAnsiTheme="minorHAnsi"/>
          <w:sz w:val="20"/>
          <w:szCs w:val="20"/>
        </w:rPr>
        <w:t>provided human health, public safety, and the environment are protected</w:t>
      </w:r>
      <w:r w:rsidR="00F24E6A" w:rsidRPr="00EE4197">
        <w:rPr>
          <w:rFonts w:asciiTheme="minorHAnsi" w:hAnsiTheme="minorHAnsi" w:cs="Times New Roman"/>
          <w:sz w:val="20"/>
          <w:szCs w:val="20"/>
        </w:rPr>
        <w:t>.</w:t>
      </w:r>
      <w:r w:rsidR="00FA749E">
        <w:rPr>
          <w:rFonts w:asciiTheme="minorHAnsi" w:hAnsiTheme="minorHAnsi" w:cs="Times New Roman"/>
          <w:sz w:val="20"/>
          <w:szCs w:val="20"/>
        </w:rPr>
        <w:t xml:space="preserve"> </w:t>
      </w:r>
      <w:r w:rsidRPr="00EE4197">
        <w:rPr>
          <w:rFonts w:asciiTheme="minorHAnsi" w:hAnsiTheme="minorHAnsi" w:cs="Times New Roman"/>
          <w:sz w:val="20"/>
          <w:szCs w:val="20"/>
        </w:rPr>
        <w:t>A</w:t>
      </w:r>
      <w:r w:rsidR="00F24E6A" w:rsidRPr="00EE4197">
        <w:rPr>
          <w:rFonts w:asciiTheme="minorHAnsi" w:hAnsiTheme="minorHAnsi" w:cs="Times New Roman"/>
          <w:sz w:val="20"/>
          <w:szCs w:val="20"/>
        </w:rPr>
        <w:t xml:space="preserve"> TPOC </w:t>
      </w:r>
      <w:r w:rsidR="00F93C58" w:rsidRPr="00EE4197">
        <w:rPr>
          <w:rFonts w:asciiTheme="minorHAnsi" w:hAnsiTheme="minorHAnsi" w:cs="Times New Roman"/>
          <w:sz w:val="20"/>
          <w:szCs w:val="20"/>
        </w:rPr>
        <w:t xml:space="preserve">may not </w:t>
      </w:r>
      <w:r w:rsidR="00F24E6A" w:rsidRPr="00EE4197">
        <w:rPr>
          <w:rFonts w:asciiTheme="minorHAnsi" w:hAnsiTheme="minorHAnsi" w:cs="Times New Roman"/>
          <w:sz w:val="20"/>
          <w:szCs w:val="20"/>
        </w:rPr>
        <w:t xml:space="preserve">be </w:t>
      </w:r>
      <w:r w:rsidR="00F24E6A" w:rsidRPr="00EE4197">
        <w:rPr>
          <w:rFonts w:asciiTheme="minorHAnsi" w:hAnsiTheme="minorHAnsi"/>
          <w:sz w:val="20"/>
          <w:szCs w:val="20"/>
        </w:rPr>
        <w:t>extended further than the lateral extent of the plume, if known, at the time of execution of a cleanup agreement or the lateral extent of the plume as defined at the time site assessment is completed (</w:t>
      </w:r>
      <w:r w:rsidR="00FD47D4" w:rsidRPr="00EE4197">
        <w:rPr>
          <w:rFonts w:asciiTheme="minorHAnsi" w:hAnsiTheme="minorHAnsi"/>
          <w:sz w:val="20"/>
          <w:szCs w:val="20"/>
        </w:rPr>
        <w:t xml:space="preserve">i.e., the Site Assessment Report is </w:t>
      </w:r>
      <w:r w:rsidR="00F24E6A" w:rsidRPr="00EE4197">
        <w:rPr>
          <w:rFonts w:asciiTheme="minorHAnsi" w:hAnsiTheme="minorHAnsi"/>
          <w:sz w:val="20"/>
          <w:szCs w:val="20"/>
        </w:rPr>
        <w:t>approved).</w:t>
      </w:r>
    </w:p>
    <w:p w14:paraId="53A30624" w14:textId="77777777" w:rsidR="00C3253E" w:rsidRPr="00EE4197" w:rsidRDefault="00C3253E" w:rsidP="00CB110A">
      <w:pPr>
        <w:pStyle w:val="PlainText"/>
        <w:spacing w:line="240" w:lineRule="atLeast"/>
        <w:ind w:right="-61"/>
        <w:rPr>
          <w:rFonts w:asciiTheme="minorHAnsi" w:hAnsiTheme="minorHAnsi" w:cs="Times New Roman"/>
          <w:sz w:val="20"/>
          <w:szCs w:val="20"/>
        </w:rPr>
      </w:pPr>
    </w:p>
    <w:p w14:paraId="4EFAD8AF" w14:textId="6EFE792D" w:rsidR="00E94A6F" w:rsidRDefault="00236E14" w:rsidP="00A83B0E">
      <w:pPr>
        <w:pStyle w:val="PlainText"/>
        <w:spacing w:line="240" w:lineRule="atLeast"/>
        <w:ind w:right="-61"/>
        <w:rPr>
          <w:rFonts w:asciiTheme="minorHAnsi" w:hAnsiTheme="minorHAnsi" w:cs="Times New Roman"/>
          <w:sz w:val="20"/>
          <w:szCs w:val="20"/>
        </w:rPr>
      </w:pPr>
      <w:r w:rsidRPr="00EE4197">
        <w:rPr>
          <w:rFonts w:asciiTheme="minorHAnsi" w:hAnsiTheme="minorHAnsi" w:cs="Times New Roman"/>
          <w:sz w:val="20"/>
          <w:szCs w:val="20"/>
        </w:rPr>
        <w:t>Since it is</w:t>
      </w:r>
      <w:r w:rsidR="00A3127D" w:rsidRPr="00EE4197">
        <w:rPr>
          <w:rFonts w:asciiTheme="minorHAnsi" w:hAnsiTheme="minorHAnsi" w:cs="Times New Roman"/>
          <w:sz w:val="20"/>
          <w:szCs w:val="20"/>
        </w:rPr>
        <w:t xml:space="preserve"> impractical to establish the exact extent of contamination usin</w:t>
      </w:r>
      <w:r w:rsidR="0031090F" w:rsidRPr="00EE4197">
        <w:rPr>
          <w:rFonts w:asciiTheme="minorHAnsi" w:hAnsiTheme="minorHAnsi" w:cs="Times New Roman"/>
          <w:sz w:val="20"/>
          <w:szCs w:val="20"/>
        </w:rPr>
        <w:t>g sample</w:t>
      </w:r>
      <w:r w:rsidR="00A3127D" w:rsidRPr="00EE4197">
        <w:rPr>
          <w:rFonts w:asciiTheme="minorHAnsi" w:hAnsiTheme="minorHAnsi" w:cs="Times New Roman"/>
          <w:sz w:val="20"/>
          <w:szCs w:val="20"/>
        </w:rPr>
        <w:t xml:space="preserve"> points, p</w:t>
      </w:r>
      <w:r w:rsidR="00B87F9F" w:rsidRPr="00EE4197">
        <w:rPr>
          <w:rFonts w:asciiTheme="minorHAnsi" w:hAnsiTheme="minorHAnsi" w:cs="Times New Roman"/>
          <w:sz w:val="20"/>
          <w:szCs w:val="20"/>
        </w:rPr>
        <w:t>lume</w:t>
      </w:r>
      <w:r w:rsidR="00CB110A" w:rsidRPr="00EE4197">
        <w:rPr>
          <w:rFonts w:asciiTheme="minorHAnsi" w:hAnsiTheme="minorHAnsi" w:cs="Times New Roman"/>
          <w:sz w:val="20"/>
          <w:szCs w:val="20"/>
        </w:rPr>
        <w:t xml:space="preserve"> contours are often drawn </w:t>
      </w:r>
      <w:r w:rsidR="00F24E6A" w:rsidRPr="00EE4197">
        <w:rPr>
          <w:rFonts w:asciiTheme="minorHAnsi" w:hAnsiTheme="minorHAnsi" w:cs="Times New Roman"/>
          <w:sz w:val="20"/>
          <w:szCs w:val="20"/>
        </w:rPr>
        <w:t>using a</w:t>
      </w:r>
      <w:r w:rsidR="00073532" w:rsidRPr="00EE4197">
        <w:rPr>
          <w:rFonts w:asciiTheme="minorHAnsi" w:hAnsiTheme="minorHAnsi" w:cs="Times New Roman"/>
          <w:sz w:val="20"/>
          <w:szCs w:val="20"/>
        </w:rPr>
        <w:t xml:space="preserve"> computer </w:t>
      </w:r>
      <w:r w:rsidR="007E5E78" w:rsidRPr="00EE4197">
        <w:rPr>
          <w:rFonts w:asciiTheme="minorHAnsi" w:hAnsiTheme="minorHAnsi" w:cs="Times New Roman"/>
          <w:sz w:val="20"/>
          <w:szCs w:val="20"/>
        </w:rPr>
        <w:t xml:space="preserve">model or professional judgment </w:t>
      </w:r>
      <w:r w:rsidR="00F24E6A" w:rsidRPr="00EE4197">
        <w:rPr>
          <w:rFonts w:asciiTheme="minorHAnsi" w:hAnsiTheme="minorHAnsi" w:cs="Times New Roman"/>
          <w:sz w:val="20"/>
          <w:szCs w:val="20"/>
        </w:rPr>
        <w:t>to</w:t>
      </w:r>
      <w:r w:rsidR="00073532" w:rsidRPr="00EE4197">
        <w:rPr>
          <w:rFonts w:asciiTheme="minorHAnsi" w:hAnsiTheme="minorHAnsi" w:cs="Times New Roman"/>
          <w:sz w:val="20"/>
          <w:szCs w:val="20"/>
        </w:rPr>
        <w:t xml:space="preserve"> </w:t>
      </w:r>
      <w:r w:rsidR="0031090F" w:rsidRPr="00EE4197">
        <w:rPr>
          <w:rFonts w:asciiTheme="minorHAnsi" w:hAnsiTheme="minorHAnsi" w:cs="Times New Roman"/>
          <w:sz w:val="20"/>
          <w:szCs w:val="20"/>
        </w:rPr>
        <w:t>"fit"</w:t>
      </w:r>
      <w:r w:rsidR="00073532" w:rsidRPr="00EE4197">
        <w:rPr>
          <w:rFonts w:asciiTheme="minorHAnsi" w:hAnsiTheme="minorHAnsi" w:cs="Times New Roman"/>
          <w:sz w:val="20"/>
          <w:szCs w:val="20"/>
        </w:rPr>
        <w:t xml:space="preserve"> contour</w:t>
      </w:r>
      <w:r w:rsidR="00F24E6A" w:rsidRPr="00EE4197">
        <w:rPr>
          <w:rFonts w:asciiTheme="minorHAnsi" w:hAnsiTheme="minorHAnsi" w:cs="Times New Roman"/>
          <w:sz w:val="20"/>
          <w:szCs w:val="20"/>
        </w:rPr>
        <w:t>s</w:t>
      </w:r>
      <w:r w:rsidR="00073532" w:rsidRPr="00EE4197">
        <w:rPr>
          <w:rFonts w:asciiTheme="minorHAnsi" w:hAnsiTheme="minorHAnsi" w:cs="Times New Roman"/>
          <w:sz w:val="20"/>
          <w:szCs w:val="20"/>
        </w:rPr>
        <w:t xml:space="preserve"> to the </w:t>
      </w:r>
      <w:r w:rsidR="00F24E6A" w:rsidRPr="00EE4197">
        <w:rPr>
          <w:rFonts w:asciiTheme="minorHAnsi" w:hAnsiTheme="minorHAnsi" w:cs="Times New Roman"/>
          <w:sz w:val="20"/>
          <w:szCs w:val="20"/>
        </w:rPr>
        <w:t xml:space="preserve">groundwater </w:t>
      </w:r>
      <w:r w:rsidR="00073532" w:rsidRPr="00EE4197">
        <w:rPr>
          <w:rFonts w:asciiTheme="minorHAnsi" w:hAnsiTheme="minorHAnsi" w:cs="Times New Roman"/>
          <w:sz w:val="20"/>
          <w:szCs w:val="20"/>
        </w:rPr>
        <w:t>data.</w:t>
      </w:r>
      <w:r w:rsidR="00FA749E">
        <w:rPr>
          <w:rFonts w:asciiTheme="minorHAnsi" w:hAnsiTheme="minorHAnsi" w:cs="Times New Roman"/>
          <w:sz w:val="20"/>
          <w:szCs w:val="20"/>
        </w:rPr>
        <w:t xml:space="preserve"> </w:t>
      </w:r>
      <w:proofErr w:type="gramStart"/>
      <w:r w:rsidR="00073532" w:rsidRPr="00EE4197">
        <w:rPr>
          <w:rFonts w:asciiTheme="minorHAnsi" w:hAnsiTheme="minorHAnsi" w:cs="Times New Roman"/>
          <w:sz w:val="20"/>
          <w:szCs w:val="20"/>
        </w:rPr>
        <w:t>As long as</w:t>
      </w:r>
      <w:proofErr w:type="gramEnd"/>
      <w:r w:rsidR="00073532" w:rsidRPr="00EE4197">
        <w:rPr>
          <w:rFonts w:asciiTheme="minorHAnsi" w:hAnsiTheme="minorHAnsi" w:cs="Times New Roman"/>
          <w:sz w:val="20"/>
          <w:szCs w:val="20"/>
        </w:rPr>
        <w:t xml:space="preserve"> </w:t>
      </w:r>
      <w:r w:rsidR="00A91C13" w:rsidRPr="00EE4197">
        <w:rPr>
          <w:rFonts w:asciiTheme="minorHAnsi" w:hAnsiTheme="minorHAnsi" w:cs="Times New Roman"/>
          <w:sz w:val="20"/>
          <w:szCs w:val="20"/>
        </w:rPr>
        <w:t xml:space="preserve">a site assessment is complete and </w:t>
      </w:r>
      <w:r w:rsidR="00073532" w:rsidRPr="00EE4197">
        <w:rPr>
          <w:rFonts w:asciiTheme="minorHAnsi" w:hAnsiTheme="minorHAnsi" w:cs="Times New Roman"/>
          <w:sz w:val="20"/>
          <w:szCs w:val="20"/>
        </w:rPr>
        <w:t xml:space="preserve">plume contours are drawn </w:t>
      </w:r>
      <w:r w:rsidR="00A3127D" w:rsidRPr="00EE4197">
        <w:rPr>
          <w:rFonts w:asciiTheme="minorHAnsi" w:hAnsiTheme="minorHAnsi" w:cs="Times New Roman"/>
          <w:sz w:val="20"/>
          <w:szCs w:val="20"/>
        </w:rPr>
        <w:t>in a manner</w:t>
      </w:r>
      <w:r w:rsidR="00073532" w:rsidRPr="00EE4197">
        <w:rPr>
          <w:rFonts w:asciiTheme="minorHAnsi" w:hAnsiTheme="minorHAnsi" w:cs="Times New Roman"/>
          <w:sz w:val="20"/>
          <w:szCs w:val="20"/>
        </w:rPr>
        <w:t xml:space="preserve"> </w:t>
      </w:r>
      <w:r w:rsidR="000A4541" w:rsidRPr="00EE4197">
        <w:rPr>
          <w:rFonts w:asciiTheme="minorHAnsi" w:hAnsiTheme="minorHAnsi" w:cs="Times New Roman"/>
          <w:sz w:val="20"/>
          <w:szCs w:val="20"/>
        </w:rPr>
        <w:t>supported by the most recent, representative data</w:t>
      </w:r>
      <w:r w:rsidR="00073532" w:rsidRPr="00EE4197">
        <w:rPr>
          <w:rFonts w:asciiTheme="minorHAnsi" w:hAnsiTheme="minorHAnsi" w:cs="Times New Roman"/>
          <w:sz w:val="20"/>
          <w:szCs w:val="20"/>
        </w:rPr>
        <w:t>, the</w:t>
      </w:r>
      <w:r w:rsidRPr="00EE4197">
        <w:rPr>
          <w:rFonts w:asciiTheme="minorHAnsi" w:hAnsiTheme="minorHAnsi" w:cs="Times New Roman"/>
          <w:sz w:val="20"/>
          <w:szCs w:val="20"/>
        </w:rPr>
        <w:t xml:space="preserve"> GCTL contour</w:t>
      </w:r>
      <w:r w:rsidR="00073532" w:rsidRPr="00EE4197">
        <w:rPr>
          <w:rFonts w:asciiTheme="minorHAnsi" w:hAnsiTheme="minorHAnsi" w:cs="Times New Roman"/>
          <w:sz w:val="20"/>
          <w:szCs w:val="20"/>
        </w:rPr>
        <w:t xml:space="preserve"> </w:t>
      </w:r>
      <w:r w:rsidR="00F93C58" w:rsidRPr="00EE4197">
        <w:rPr>
          <w:rFonts w:asciiTheme="minorHAnsi" w:hAnsiTheme="minorHAnsi" w:cs="Times New Roman"/>
          <w:sz w:val="20"/>
          <w:szCs w:val="20"/>
        </w:rPr>
        <w:t xml:space="preserve">may </w:t>
      </w:r>
      <w:r w:rsidR="00CB110A" w:rsidRPr="00EE4197">
        <w:rPr>
          <w:rFonts w:asciiTheme="minorHAnsi" w:hAnsiTheme="minorHAnsi" w:cs="Times New Roman"/>
          <w:sz w:val="20"/>
          <w:szCs w:val="20"/>
        </w:rPr>
        <w:t>be used</w:t>
      </w:r>
      <w:r w:rsidR="00A91C13" w:rsidRPr="00EE4197">
        <w:rPr>
          <w:rFonts w:asciiTheme="minorHAnsi" w:hAnsiTheme="minorHAnsi" w:cs="Times New Roman"/>
          <w:sz w:val="20"/>
          <w:szCs w:val="20"/>
        </w:rPr>
        <w:t xml:space="preserve"> to </w:t>
      </w:r>
      <w:r w:rsidR="00A84BE7" w:rsidRPr="00EE4197">
        <w:rPr>
          <w:rFonts w:asciiTheme="minorHAnsi" w:hAnsiTheme="minorHAnsi" w:cs="Times New Roman"/>
          <w:sz w:val="20"/>
          <w:szCs w:val="20"/>
        </w:rPr>
        <w:t>determine</w:t>
      </w:r>
      <w:r w:rsidR="00A91C13" w:rsidRPr="00EE4197">
        <w:rPr>
          <w:rFonts w:asciiTheme="minorHAnsi" w:hAnsiTheme="minorHAnsi" w:cs="Times New Roman"/>
          <w:sz w:val="20"/>
          <w:szCs w:val="20"/>
        </w:rPr>
        <w:t xml:space="preserve"> a</w:t>
      </w:r>
      <w:r w:rsidR="00073532" w:rsidRPr="00EE4197">
        <w:rPr>
          <w:rFonts w:asciiTheme="minorHAnsi" w:hAnsiTheme="minorHAnsi" w:cs="Times New Roman"/>
          <w:sz w:val="20"/>
          <w:szCs w:val="20"/>
        </w:rPr>
        <w:t xml:space="preserve"> TPOC.</w:t>
      </w:r>
    </w:p>
    <w:p w14:paraId="28FBE7D1" w14:textId="77777777" w:rsidR="00FA749E" w:rsidRPr="00EE4197" w:rsidRDefault="00FA749E" w:rsidP="00CB110A">
      <w:pPr>
        <w:pStyle w:val="PlainText"/>
        <w:spacing w:line="240" w:lineRule="atLeast"/>
        <w:ind w:right="-61"/>
        <w:rPr>
          <w:rFonts w:asciiTheme="minorHAnsi" w:hAnsiTheme="minorHAnsi" w:cs="Times New Roman"/>
          <w:sz w:val="20"/>
          <w:szCs w:val="20"/>
        </w:rPr>
      </w:pPr>
    </w:p>
    <w:p w14:paraId="0741C205" w14:textId="5BBF205F" w:rsidR="00A83B0E" w:rsidRPr="00EE4197" w:rsidRDefault="00FB5514" w:rsidP="00A83B0E">
      <w:pPr>
        <w:pStyle w:val="PlainText"/>
        <w:spacing w:line="240" w:lineRule="atLeast"/>
        <w:ind w:right="-61"/>
        <w:rPr>
          <w:rFonts w:asciiTheme="minorHAnsi" w:hAnsiTheme="minorHAnsi"/>
          <w:sz w:val="20"/>
          <w:szCs w:val="20"/>
        </w:rPr>
      </w:pPr>
      <w:r w:rsidRPr="00EE4197">
        <w:rPr>
          <w:rFonts w:asciiTheme="minorHAnsi" w:hAnsiTheme="minorHAnsi" w:cs="Times New Roman"/>
          <w:sz w:val="20"/>
          <w:szCs w:val="20"/>
        </w:rPr>
        <w:t>Section 376.301(47), F.S.</w:t>
      </w:r>
      <w:r w:rsidR="001A1428" w:rsidRPr="00EE4197">
        <w:rPr>
          <w:rFonts w:asciiTheme="minorHAnsi" w:hAnsiTheme="minorHAnsi"/>
          <w:sz w:val="20"/>
          <w:szCs w:val="20"/>
        </w:rPr>
        <w:t xml:space="preserve"> </w:t>
      </w:r>
      <w:r w:rsidR="00126B19" w:rsidRPr="00EE4197">
        <w:rPr>
          <w:rFonts w:asciiTheme="minorHAnsi" w:hAnsiTheme="minorHAnsi"/>
          <w:sz w:val="20"/>
          <w:szCs w:val="20"/>
        </w:rPr>
        <w:t xml:space="preserve">defines </w:t>
      </w:r>
      <w:r w:rsidR="000E35DD" w:rsidRPr="00EE4197">
        <w:rPr>
          <w:rFonts w:asciiTheme="minorHAnsi" w:hAnsiTheme="minorHAnsi"/>
          <w:sz w:val="20"/>
          <w:szCs w:val="20"/>
        </w:rPr>
        <w:t xml:space="preserve">a </w:t>
      </w:r>
      <w:r w:rsidR="00CB110A" w:rsidRPr="00EE4197">
        <w:rPr>
          <w:rFonts w:asciiTheme="minorHAnsi" w:hAnsiTheme="minorHAnsi"/>
          <w:sz w:val="20"/>
          <w:szCs w:val="20"/>
        </w:rPr>
        <w:t>TPOC</w:t>
      </w:r>
      <w:r w:rsidR="00126B19" w:rsidRPr="00EE4197">
        <w:rPr>
          <w:rFonts w:asciiTheme="minorHAnsi" w:hAnsiTheme="minorHAnsi"/>
          <w:sz w:val="20"/>
          <w:szCs w:val="20"/>
        </w:rPr>
        <w:t xml:space="preserve"> a</w:t>
      </w:r>
      <w:r w:rsidR="001A1428" w:rsidRPr="00EE4197">
        <w:rPr>
          <w:rFonts w:asciiTheme="minorHAnsi" w:hAnsiTheme="minorHAnsi"/>
          <w:sz w:val="20"/>
          <w:szCs w:val="20"/>
        </w:rPr>
        <w:t xml:space="preserve">s </w:t>
      </w:r>
      <w:r w:rsidRPr="00EE4197">
        <w:rPr>
          <w:rFonts w:asciiTheme="minorHAnsi" w:hAnsiTheme="minorHAnsi"/>
          <w:sz w:val="20"/>
          <w:szCs w:val="20"/>
        </w:rPr>
        <w:t>“the</w:t>
      </w:r>
      <w:r w:rsidR="001A1428" w:rsidRPr="00EE4197">
        <w:rPr>
          <w:rFonts w:asciiTheme="minorHAnsi" w:hAnsiTheme="minorHAnsi"/>
          <w:sz w:val="20"/>
          <w:szCs w:val="20"/>
        </w:rPr>
        <w:t xml:space="preserve"> boundary represented by one or more designated monitoring wells at which </w:t>
      </w:r>
      <w:r w:rsidR="00E94A6F">
        <w:rPr>
          <w:rFonts w:asciiTheme="minorHAnsi" w:hAnsiTheme="minorHAnsi"/>
          <w:sz w:val="20"/>
          <w:szCs w:val="20"/>
        </w:rPr>
        <w:t>G</w:t>
      </w:r>
      <w:r w:rsidR="001A1428" w:rsidRPr="00EE4197">
        <w:rPr>
          <w:rFonts w:asciiTheme="minorHAnsi" w:hAnsiTheme="minorHAnsi"/>
          <w:sz w:val="20"/>
          <w:szCs w:val="20"/>
        </w:rPr>
        <w:t>CTLs may not be exceeded while site rehabilitation is proceeding.</w:t>
      </w:r>
      <w:r w:rsidRPr="00EE4197">
        <w:rPr>
          <w:rFonts w:asciiTheme="minorHAnsi" w:hAnsiTheme="minorHAnsi"/>
          <w:sz w:val="20"/>
          <w:szCs w:val="20"/>
        </w:rPr>
        <w:t>”</w:t>
      </w:r>
      <w:r w:rsidR="00FA749E">
        <w:rPr>
          <w:rFonts w:asciiTheme="minorHAnsi" w:hAnsiTheme="minorHAnsi"/>
          <w:sz w:val="20"/>
          <w:szCs w:val="20"/>
        </w:rPr>
        <w:t xml:space="preserve"> </w:t>
      </w:r>
      <w:r w:rsidR="000A4541" w:rsidRPr="00EE4197">
        <w:rPr>
          <w:rFonts w:asciiTheme="minorHAnsi" w:hAnsiTheme="minorHAnsi"/>
          <w:sz w:val="20"/>
          <w:szCs w:val="20"/>
        </w:rPr>
        <w:t>Installation of a</w:t>
      </w:r>
      <w:r w:rsidR="00F232EB" w:rsidRPr="00EE4197">
        <w:rPr>
          <w:rFonts w:asciiTheme="minorHAnsi" w:hAnsiTheme="minorHAnsi"/>
          <w:sz w:val="20"/>
          <w:szCs w:val="20"/>
        </w:rPr>
        <w:t xml:space="preserve">dditional </w:t>
      </w:r>
      <w:r w:rsidR="00F232EB" w:rsidRPr="00EE4197">
        <w:rPr>
          <w:rFonts w:asciiTheme="minorHAnsi" w:hAnsiTheme="minorHAnsi"/>
          <w:sz w:val="20"/>
          <w:szCs w:val="20"/>
        </w:rPr>
        <w:lastRenderedPageBreak/>
        <w:t xml:space="preserve">monitoring wells beyond those necessary to delineate the extent of the contaminant plume should not be required by the </w:t>
      </w:r>
      <w:r w:rsidR="00E94A6F">
        <w:rPr>
          <w:rFonts w:asciiTheme="minorHAnsi" w:hAnsiTheme="minorHAnsi"/>
          <w:sz w:val="20"/>
          <w:szCs w:val="20"/>
        </w:rPr>
        <w:t>FDEP</w:t>
      </w:r>
      <w:r w:rsidR="00E94A6F" w:rsidRPr="00EE4197">
        <w:rPr>
          <w:rFonts w:asciiTheme="minorHAnsi" w:hAnsiTheme="minorHAnsi"/>
          <w:sz w:val="20"/>
          <w:szCs w:val="20"/>
        </w:rPr>
        <w:t xml:space="preserve"> </w:t>
      </w:r>
      <w:r w:rsidR="00F232EB" w:rsidRPr="00EE4197">
        <w:rPr>
          <w:rFonts w:asciiTheme="minorHAnsi" w:hAnsiTheme="minorHAnsi"/>
          <w:sz w:val="20"/>
          <w:szCs w:val="20"/>
        </w:rPr>
        <w:t>simply to establish an ideal TPOC monitoring line.</w:t>
      </w:r>
      <w:r w:rsidR="00FA749E">
        <w:rPr>
          <w:rFonts w:asciiTheme="minorHAnsi" w:hAnsiTheme="minorHAnsi"/>
          <w:sz w:val="20"/>
          <w:szCs w:val="20"/>
        </w:rPr>
        <w:t xml:space="preserve"> </w:t>
      </w:r>
      <w:r w:rsidR="00F232EB" w:rsidRPr="00EE4197">
        <w:rPr>
          <w:rFonts w:asciiTheme="minorHAnsi" w:hAnsiTheme="minorHAnsi"/>
          <w:sz w:val="20"/>
          <w:szCs w:val="20"/>
        </w:rPr>
        <w:t xml:space="preserve">If monitoring wells are too distant from the TPOC to reasonably function as TPOC monitoring wells, then the same computer model or professional judgment used to establish the TPOC may be used to determine whether the TPOC has been violated. </w:t>
      </w:r>
    </w:p>
    <w:p w14:paraId="00BCE8F3" w14:textId="77777777" w:rsidR="00092F5D" w:rsidRPr="00EE4197" w:rsidRDefault="00092F5D" w:rsidP="00A83B0E">
      <w:pPr>
        <w:pStyle w:val="PlainText"/>
        <w:spacing w:line="240" w:lineRule="atLeast"/>
        <w:ind w:right="-61"/>
        <w:rPr>
          <w:rFonts w:asciiTheme="minorHAnsi" w:hAnsiTheme="minorHAnsi"/>
          <w:sz w:val="20"/>
          <w:szCs w:val="20"/>
        </w:rPr>
      </w:pPr>
    </w:p>
    <w:p w14:paraId="6A416F6B" w14:textId="4E49CE8D" w:rsidR="00A83B0E" w:rsidRPr="00EE4197" w:rsidRDefault="001B4AED" w:rsidP="00A83B0E">
      <w:pPr>
        <w:pStyle w:val="PlainText"/>
        <w:spacing w:line="240" w:lineRule="atLeast"/>
        <w:ind w:right="-61"/>
        <w:rPr>
          <w:rFonts w:asciiTheme="minorHAnsi" w:eastAsia="Calibri" w:hAnsiTheme="minorHAnsi" w:cs="Times New Roman"/>
          <w:sz w:val="20"/>
          <w:szCs w:val="20"/>
        </w:rPr>
      </w:pPr>
      <w:r w:rsidRPr="00EE4197">
        <w:rPr>
          <w:rFonts w:asciiTheme="minorHAnsi" w:hAnsiTheme="minorHAnsi"/>
          <w:sz w:val="20"/>
          <w:szCs w:val="20"/>
        </w:rPr>
        <w:t>Exceedance of a GCTL in a TPOC monitoring well should be evaluated as a possible violation of the TPOC.</w:t>
      </w:r>
      <w:r w:rsidR="00FA749E">
        <w:rPr>
          <w:rFonts w:asciiTheme="minorHAnsi" w:hAnsiTheme="minorHAnsi"/>
          <w:sz w:val="20"/>
          <w:szCs w:val="20"/>
        </w:rPr>
        <w:t xml:space="preserve"> </w:t>
      </w:r>
      <w:r w:rsidR="005D2459" w:rsidRPr="00EE4197">
        <w:rPr>
          <w:rFonts w:asciiTheme="minorHAnsi" w:hAnsiTheme="minorHAnsi"/>
          <w:sz w:val="20"/>
          <w:szCs w:val="20"/>
        </w:rPr>
        <w:t xml:space="preserve">If the </w:t>
      </w:r>
      <w:r w:rsidR="00F232EB" w:rsidRPr="00EE4197">
        <w:rPr>
          <w:rFonts w:asciiTheme="minorHAnsi" w:hAnsiTheme="minorHAnsi"/>
          <w:sz w:val="20"/>
          <w:szCs w:val="20"/>
        </w:rPr>
        <w:t xml:space="preserve">contaminant </w:t>
      </w:r>
      <w:r w:rsidR="005D2459" w:rsidRPr="00EE4197">
        <w:rPr>
          <w:rFonts w:asciiTheme="minorHAnsi" w:hAnsiTheme="minorHAnsi"/>
          <w:sz w:val="20"/>
          <w:szCs w:val="20"/>
        </w:rPr>
        <w:t>plume expands</w:t>
      </w:r>
      <w:r w:rsidR="00F93C58" w:rsidRPr="00EE4197">
        <w:rPr>
          <w:rFonts w:asciiTheme="minorHAnsi" w:hAnsiTheme="minorHAnsi"/>
          <w:sz w:val="20"/>
          <w:szCs w:val="20"/>
        </w:rPr>
        <w:t xml:space="preserve"> </w:t>
      </w:r>
      <w:r w:rsidR="00F232EB" w:rsidRPr="00EE4197">
        <w:rPr>
          <w:rFonts w:asciiTheme="minorHAnsi" w:hAnsiTheme="minorHAnsi"/>
          <w:sz w:val="20"/>
          <w:szCs w:val="20"/>
        </w:rPr>
        <w:t>beyond the TPOC</w:t>
      </w:r>
      <w:r w:rsidR="00A83B0E" w:rsidRPr="00EE4197">
        <w:rPr>
          <w:rFonts w:asciiTheme="minorHAnsi" w:eastAsia="Calibri" w:hAnsiTheme="minorHAnsi" w:cs="Times New Roman"/>
          <w:sz w:val="20"/>
          <w:szCs w:val="20"/>
        </w:rPr>
        <w:t xml:space="preserve">, </w:t>
      </w:r>
      <w:r w:rsidR="00813F4C" w:rsidRPr="00EE4197">
        <w:rPr>
          <w:rFonts w:asciiTheme="minorHAnsi" w:eastAsia="Calibri" w:hAnsiTheme="minorHAnsi" w:cs="Times New Roman"/>
          <w:sz w:val="20"/>
          <w:szCs w:val="20"/>
        </w:rPr>
        <w:t xml:space="preserve">the effectiveness of the remedial strategy </w:t>
      </w:r>
      <w:r w:rsidR="001D3311" w:rsidRPr="00EE4197">
        <w:rPr>
          <w:rFonts w:asciiTheme="minorHAnsi" w:eastAsia="Calibri" w:hAnsiTheme="minorHAnsi" w:cs="Times New Roman"/>
          <w:sz w:val="20"/>
          <w:szCs w:val="20"/>
        </w:rPr>
        <w:t xml:space="preserve">should be evaluated </w:t>
      </w:r>
      <w:r w:rsidR="00813F4C" w:rsidRPr="00EE4197">
        <w:rPr>
          <w:rFonts w:asciiTheme="minorHAnsi" w:eastAsia="Calibri" w:hAnsiTheme="minorHAnsi" w:cs="Times New Roman"/>
          <w:sz w:val="20"/>
          <w:szCs w:val="20"/>
        </w:rPr>
        <w:t xml:space="preserve">and </w:t>
      </w:r>
      <w:r w:rsidR="00A83B0E" w:rsidRPr="00EE4197">
        <w:rPr>
          <w:rFonts w:asciiTheme="minorHAnsi" w:eastAsia="Calibri" w:hAnsiTheme="minorHAnsi" w:cs="Times New Roman"/>
          <w:sz w:val="20"/>
          <w:szCs w:val="20"/>
        </w:rPr>
        <w:t xml:space="preserve">additional </w:t>
      </w:r>
      <w:r w:rsidR="00F232EB" w:rsidRPr="00EE4197">
        <w:rPr>
          <w:rFonts w:asciiTheme="minorHAnsi" w:eastAsia="Calibri" w:hAnsiTheme="minorHAnsi" w:cs="Times New Roman"/>
          <w:sz w:val="20"/>
          <w:szCs w:val="20"/>
        </w:rPr>
        <w:t xml:space="preserve">TPOC </w:t>
      </w:r>
      <w:r w:rsidR="00A83B0E" w:rsidRPr="00EE4197">
        <w:rPr>
          <w:rFonts w:asciiTheme="minorHAnsi" w:eastAsia="Calibri" w:hAnsiTheme="minorHAnsi" w:cs="Times New Roman"/>
          <w:sz w:val="20"/>
          <w:szCs w:val="20"/>
        </w:rPr>
        <w:t xml:space="preserve">notices </w:t>
      </w:r>
      <w:r w:rsidR="001D3311" w:rsidRPr="00EE4197">
        <w:rPr>
          <w:rFonts w:asciiTheme="minorHAnsi" w:eastAsia="Calibri" w:hAnsiTheme="minorHAnsi" w:cs="Times New Roman"/>
          <w:sz w:val="20"/>
          <w:szCs w:val="20"/>
        </w:rPr>
        <w:t xml:space="preserve">must be provided, if appropriate </w:t>
      </w:r>
      <w:r w:rsidR="00A83B0E" w:rsidRPr="00EE4197">
        <w:rPr>
          <w:rFonts w:asciiTheme="minorHAnsi" w:eastAsia="Calibri" w:hAnsiTheme="minorHAnsi" w:cs="Times New Roman"/>
          <w:sz w:val="20"/>
          <w:szCs w:val="20"/>
        </w:rPr>
        <w:t>(see below)</w:t>
      </w:r>
      <w:r w:rsidR="00F232EB" w:rsidRPr="00EE4197">
        <w:rPr>
          <w:rFonts w:asciiTheme="minorHAnsi" w:eastAsia="Calibri" w:hAnsiTheme="minorHAnsi" w:cs="Times New Roman"/>
          <w:sz w:val="20"/>
          <w:szCs w:val="20"/>
        </w:rPr>
        <w:t>.</w:t>
      </w:r>
      <w:r w:rsidR="00F232EB" w:rsidRPr="00EE4197" w:rsidDel="00F232EB">
        <w:rPr>
          <w:rFonts w:asciiTheme="minorHAnsi" w:eastAsia="Calibri" w:hAnsiTheme="minorHAnsi" w:cs="Times New Roman"/>
          <w:sz w:val="20"/>
          <w:szCs w:val="20"/>
        </w:rPr>
        <w:t xml:space="preserve"> </w:t>
      </w:r>
    </w:p>
    <w:p w14:paraId="6B5C3E1A" w14:textId="77777777" w:rsidR="00092F5D" w:rsidRPr="00EE4197" w:rsidRDefault="00092F5D" w:rsidP="00A83B0E">
      <w:pPr>
        <w:pStyle w:val="PlainText"/>
        <w:spacing w:line="240" w:lineRule="atLeast"/>
        <w:ind w:right="-61"/>
        <w:rPr>
          <w:rFonts w:asciiTheme="minorHAnsi" w:eastAsia="Calibri" w:hAnsiTheme="minorHAnsi" w:cs="Times New Roman"/>
          <w:sz w:val="20"/>
          <w:szCs w:val="20"/>
        </w:rPr>
      </w:pPr>
    </w:p>
    <w:p w14:paraId="4CC755C5" w14:textId="77777777" w:rsidR="00CB110A" w:rsidRPr="00EE4197" w:rsidRDefault="00021B38" w:rsidP="00EE4197">
      <w:pPr>
        <w:pStyle w:val="PlainText"/>
        <w:keepNext/>
        <w:numPr>
          <w:ilvl w:val="0"/>
          <w:numId w:val="8"/>
        </w:numPr>
        <w:spacing w:line="240" w:lineRule="atLeast"/>
        <w:ind w:right="-58"/>
        <w:rPr>
          <w:rFonts w:asciiTheme="minorHAnsi" w:eastAsia="Calibri" w:hAnsiTheme="minorHAnsi" w:cs="Times New Roman"/>
          <w:b/>
          <w:sz w:val="20"/>
          <w:szCs w:val="20"/>
          <w:u w:val="single"/>
        </w:rPr>
      </w:pPr>
      <w:r w:rsidRPr="00EE4197">
        <w:rPr>
          <w:rFonts w:asciiTheme="minorHAnsi" w:eastAsia="Calibri" w:hAnsiTheme="minorHAnsi" w:cs="Times New Roman"/>
          <w:b/>
          <w:sz w:val="20"/>
          <w:szCs w:val="20"/>
          <w:u w:val="single"/>
        </w:rPr>
        <w:t>TPOC</w:t>
      </w:r>
      <w:r w:rsidR="00E552AC" w:rsidRPr="00EE4197">
        <w:rPr>
          <w:rFonts w:asciiTheme="minorHAnsi" w:eastAsia="Calibri" w:hAnsiTheme="minorHAnsi" w:cs="Times New Roman"/>
          <w:b/>
          <w:sz w:val="20"/>
          <w:szCs w:val="20"/>
          <w:u w:val="single"/>
        </w:rPr>
        <w:t xml:space="preserve"> </w:t>
      </w:r>
      <w:r w:rsidR="00092F5D" w:rsidRPr="00EE4197">
        <w:rPr>
          <w:rFonts w:asciiTheme="minorHAnsi" w:eastAsia="Calibri" w:hAnsiTheme="minorHAnsi" w:cs="Times New Roman"/>
          <w:b/>
          <w:sz w:val="20"/>
          <w:szCs w:val="20"/>
          <w:u w:val="single"/>
        </w:rPr>
        <w:t xml:space="preserve">Notice </w:t>
      </w:r>
      <w:r w:rsidR="00D669AF" w:rsidRPr="00EE4197">
        <w:rPr>
          <w:rFonts w:asciiTheme="minorHAnsi" w:eastAsia="Calibri" w:hAnsiTheme="minorHAnsi" w:cs="Times New Roman"/>
          <w:b/>
          <w:sz w:val="20"/>
          <w:szCs w:val="20"/>
          <w:u w:val="single"/>
        </w:rPr>
        <w:t>and</w:t>
      </w:r>
      <w:r w:rsidRPr="00EE4197">
        <w:rPr>
          <w:rFonts w:asciiTheme="minorHAnsi" w:eastAsia="Calibri" w:hAnsiTheme="minorHAnsi" w:cs="Times New Roman"/>
          <w:b/>
          <w:sz w:val="20"/>
          <w:szCs w:val="20"/>
          <w:u w:val="single"/>
        </w:rPr>
        <w:t xml:space="preserve"> </w:t>
      </w:r>
      <w:r w:rsidR="001B4AED" w:rsidRPr="00EE4197">
        <w:rPr>
          <w:rFonts w:asciiTheme="minorHAnsi" w:eastAsia="Calibri" w:hAnsiTheme="minorHAnsi" w:cs="Times New Roman"/>
          <w:b/>
          <w:sz w:val="20"/>
          <w:szCs w:val="20"/>
          <w:u w:val="single"/>
        </w:rPr>
        <w:t xml:space="preserve">Approval Order </w:t>
      </w:r>
      <w:r w:rsidRPr="00EE4197">
        <w:rPr>
          <w:rFonts w:asciiTheme="minorHAnsi" w:eastAsia="Calibri" w:hAnsiTheme="minorHAnsi" w:cs="Times New Roman"/>
          <w:b/>
          <w:sz w:val="20"/>
          <w:szCs w:val="20"/>
          <w:u w:val="single"/>
        </w:rPr>
        <w:t>Process</w:t>
      </w:r>
    </w:p>
    <w:p w14:paraId="163236D1" w14:textId="77777777" w:rsidR="00CB110A" w:rsidRPr="00EE4197" w:rsidRDefault="00CB110A" w:rsidP="007C1078">
      <w:pPr>
        <w:pStyle w:val="PlainText"/>
        <w:keepNext/>
        <w:spacing w:line="240" w:lineRule="atLeast"/>
        <w:ind w:right="-58"/>
        <w:rPr>
          <w:rFonts w:asciiTheme="minorHAnsi" w:hAnsiTheme="minorHAnsi"/>
          <w:sz w:val="20"/>
          <w:szCs w:val="20"/>
        </w:rPr>
      </w:pPr>
    </w:p>
    <w:p w14:paraId="1F6DB802" w14:textId="5B071D7F" w:rsidR="004412FA" w:rsidRPr="00EE4197" w:rsidRDefault="004412FA" w:rsidP="00021B38">
      <w:pPr>
        <w:pStyle w:val="Default"/>
        <w:ind w:right="-61"/>
        <w:rPr>
          <w:rFonts w:asciiTheme="minorHAnsi" w:hAnsiTheme="minorHAnsi"/>
          <w:sz w:val="20"/>
          <w:szCs w:val="20"/>
        </w:rPr>
      </w:pPr>
      <w:r w:rsidRPr="00EE4197">
        <w:rPr>
          <w:rFonts w:asciiTheme="minorHAnsi" w:hAnsiTheme="minorHAnsi"/>
          <w:sz w:val="20"/>
          <w:szCs w:val="20"/>
        </w:rPr>
        <w:t xml:space="preserve">Prior to </w:t>
      </w:r>
      <w:r w:rsidR="00E94A6F">
        <w:rPr>
          <w:rFonts w:asciiTheme="minorHAnsi" w:hAnsiTheme="minorHAnsi"/>
          <w:sz w:val="20"/>
          <w:szCs w:val="20"/>
        </w:rPr>
        <w:t>FDEP</w:t>
      </w:r>
      <w:r w:rsidR="00E94A6F" w:rsidRPr="00EE4197">
        <w:rPr>
          <w:rFonts w:asciiTheme="minorHAnsi" w:hAnsiTheme="minorHAnsi"/>
          <w:sz w:val="20"/>
          <w:szCs w:val="20"/>
        </w:rPr>
        <w:t xml:space="preserve"> </w:t>
      </w:r>
      <w:r w:rsidRPr="00EE4197">
        <w:rPr>
          <w:rFonts w:asciiTheme="minorHAnsi" w:hAnsiTheme="minorHAnsi"/>
          <w:sz w:val="20"/>
          <w:szCs w:val="20"/>
        </w:rPr>
        <w:t xml:space="preserve">authorizing a </w:t>
      </w:r>
      <w:r w:rsidR="00FE3A9B" w:rsidRPr="00EE4197">
        <w:rPr>
          <w:rFonts w:asciiTheme="minorHAnsi" w:hAnsiTheme="minorHAnsi"/>
          <w:sz w:val="20"/>
          <w:szCs w:val="20"/>
        </w:rPr>
        <w:t>TPOC</w:t>
      </w:r>
      <w:r w:rsidR="00021B38" w:rsidRPr="00EE4197">
        <w:rPr>
          <w:rFonts w:asciiTheme="minorHAnsi" w:hAnsiTheme="minorHAnsi"/>
          <w:sz w:val="20"/>
          <w:szCs w:val="20"/>
        </w:rPr>
        <w:t xml:space="preserve"> beyond the source property boundary (</w:t>
      </w:r>
      <w:r w:rsidR="00AA0E3B" w:rsidRPr="00EE4197">
        <w:rPr>
          <w:rFonts w:asciiTheme="minorHAnsi" w:hAnsiTheme="minorHAnsi"/>
          <w:sz w:val="20"/>
          <w:szCs w:val="20"/>
        </w:rPr>
        <w:t xml:space="preserve">i.e., </w:t>
      </w:r>
      <w:r w:rsidR="00C717AD" w:rsidRPr="00EE4197">
        <w:rPr>
          <w:rFonts w:asciiTheme="minorHAnsi" w:hAnsiTheme="minorHAnsi"/>
          <w:sz w:val="20"/>
          <w:szCs w:val="20"/>
        </w:rPr>
        <w:t xml:space="preserve">before </w:t>
      </w:r>
      <w:r w:rsidR="00E94A6F">
        <w:rPr>
          <w:rFonts w:asciiTheme="minorHAnsi" w:hAnsiTheme="minorHAnsi"/>
          <w:sz w:val="20"/>
          <w:szCs w:val="20"/>
        </w:rPr>
        <w:t>FDEP</w:t>
      </w:r>
      <w:r w:rsidR="00C717AD" w:rsidRPr="00EE4197">
        <w:rPr>
          <w:rFonts w:asciiTheme="minorHAnsi" w:hAnsiTheme="minorHAnsi"/>
          <w:sz w:val="20"/>
          <w:szCs w:val="20"/>
        </w:rPr>
        <w:t xml:space="preserve"> issues a </w:t>
      </w:r>
      <w:r w:rsidR="009D7C6F" w:rsidRPr="00EE4197">
        <w:rPr>
          <w:rFonts w:asciiTheme="minorHAnsi" w:hAnsiTheme="minorHAnsi"/>
          <w:sz w:val="20"/>
          <w:szCs w:val="20"/>
        </w:rPr>
        <w:t>R</w:t>
      </w:r>
      <w:r w:rsidR="00F93C58" w:rsidRPr="00EE4197">
        <w:rPr>
          <w:rFonts w:asciiTheme="minorHAnsi" w:hAnsiTheme="minorHAnsi"/>
          <w:sz w:val="20"/>
          <w:szCs w:val="20"/>
        </w:rPr>
        <w:t xml:space="preserve">emedial </w:t>
      </w:r>
      <w:r w:rsidR="009D7C6F" w:rsidRPr="00EE4197">
        <w:rPr>
          <w:rFonts w:asciiTheme="minorHAnsi" w:hAnsiTheme="minorHAnsi"/>
          <w:sz w:val="20"/>
          <w:szCs w:val="20"/>
        </w:rPr>
        <w:t>A</w:t>
      </w:r>
      <w:r w:rsidR="00F93C58" w:rsidRPr="00EE4197">
        <w:rPr>
          <w:rFonts w:asciiTheme="minorHAnsi" w:hAnsiTheme="minorHAnsi"/>
          <w:sz w:val="20"/>
          <w:szCs w:val="20"/>
        </w:rPr>
        <w:t xml:space="preserve">ction </w:t>
      </w:r>
      <w:r w:rsidR="009D7C6F" w:rsidRPr="00EE4197">
        <w:rPr>
          <w:rFonts w:asciiTheme="minorHAnsi" w:hAnsiTheme="minorHAnsi"/>
          <w:sz w:val="20"/>
          <w:szCs w:val="20"/>
        </w:rPr>
        <w:t>P</w:t>
      </w:r>
      <w:r w:rsidR="00F93C58" w:rsidRPr="00EE4197">
        <w:rPr>
          <w:rFonts w:asciiTheme="minorHAnsi" w:hAnsiTheme="minorHAnsi"/>
          <w:sz w:val="20"/>
          <w:szCs w:val="20"/>
        </w:rPr>
        <w:t xml:space="preserve">lan </w:t>
      </w:r>
      <w:r w:rsidR="009D7C6F" w:rsidRPr="00EE4197">
        <w:rPr>
          <w:rFonts w:asciiTheme="minorHAnsi" w:hAnsiTheme="minorHAnsi"/>
          <w:sz w:val="20"/>
          <w:szCs w:val="20"/>
        </w:rPr>
        <w:t>A</w:t>
      </w:r>
      <w:r w:rsidR="00F93C58" w:rsidRPr="00EE4197">
        <w:rPr>
          <w:rFonts w:asciiTheme="minorHAnsi" w:hAnsiTheme="minorHAnsi"/>
          <w:sz w:val="20"/>
          <w:szCs w:val="20"/>
        </w:rPr>
        <w:t xml:space="preserve">pproval </w:t>
      </w:r>
      <w:r w:rsidR="009D7C6F" w:rsidRPr="00EE4197">
        <w:rPr>
          <w:rFonts w:asciiTheme="minorHAnsi" w:hAnsiTheme="minorHAnsi"/>
          <w:sz w:val="20"/>
          <w:szCs w:val="20"/>
        </w:rPr>
        <w:t>O</w:t>
      </w:r>
      <w:r w:rsidR="00F93C58" w:rsidRPr="00EE4197">
        <w:rPr>
          <w:rFonts w:asciiTheme="minorHAnsi" w:hAnsiTheme="minorHAnsi"/>
          <w:sz w:val="20"/>
          <w:szCs w:val="20"/>
        </w:rPr>
        <w:t xml:space="preserve">rder </w:t>
      </w:r>
      <w:r w:rsidR="000347CB" w:rsidRPr="00EE4197">
        <w:rPr>
          <w:rFonts w:asciiTheme="minorHAnsi" w:hAnsiTheme="minorHAnsi"/>
          <w:sz w:val="20"/>
          <w:szCs w:val="20"/>
        </w:rPr>
        <w:t>[</w:t>
      </w:r>
      <w:r w:rsidR="001B4AED" w:rsidRPr="00EE4197">
        <w:rPr>
          <w:rFonts w:asciiTheme="minorHAnsi" w:hAnsiTheme="minorHAnsi"/>
          <w:sz w:val="20"/>
          <w:szCs w:val="20"/>
        </w:rPr>
        <w:t>RAPAO</w:t>
      </w:r>
      <w:r w:rsidR="000347CB" w:rsidRPr="00EE4197">
        <w:rPr>
          <w:rFonts w:asciiTheme="minorHAnsi" w:hAnsiTheme="minorHAnsi"/>
          <w:sz w:val="20"/>
          <w:szCs w:val="20"/>
        </w:rPr>
        <w:t>]</w:t>
      </w:r>
      <w:r w:rsidR="001B4AED" w:rsidRPr="00EE4197">
        <w:rPr>
          <w:rFonts w:asciiTheme="minorHAnsi" w:hAnsiTheme="minorHAnsi"/>
          <w:sz w:val="20"/>
          <w:szCs w:val="20"/>
        </w:rPr>
        <w:t xml:space="preserve"> or Natural </w:t>
      </w:r>
      <w:r w:rsidR="00880D34" w:rsidRPr="00EE4197">
        <w:rPr>
          <w:rFonts w:asciiTheme="minorHAnsi" w:hAnsiTheme="minorHAnsi"/>
          <w:sz w:val="20"/>
          <w:szCs w:val="20"/>
        </w:rPr>
        <w:t>Attenuation</w:t>
      </w:r>
      <w:r w:rsidR="001B4AED" w:rsidRPr="00EE4197">
        <w:rPr>
          <w:rFonts w:asciiTheme="minorHAnsi" w:hAnsiTheme="minorHAnsi"/>
          <w:sz w:val="20"/>
          <w:szCs w:val="20"/>
        </w:rPr>
        <w:t xml:space="preserve"> </w:t>
      </w:r>
      <w:r w:rsidR="00D106B2" w:rsidRPr="00EE4197">
        <w:rPr>
          <w:rFonts w:asciiTheme="minorHAnsi" w:hAnsiTheme="minorHAnsi"/>
          <w:sz w:val="20"/>
          <w:szCs w:val="20"/>
        </w:rPr>
        <w:t xml:space="preserve">Monitoring </w:t>
      </w:r>
      <w:r w:rsidR="001B4AED" w:rsidRPr="00EE4197">
        <w:rPr>
          <w:rFonts w:asciiTheme="minorHAnsi" w:hAnsiTheme="minorHAnsi"/>
          <w:sz w:val="20"/>
          <w:szCs w:val="20"/>
        </w:rPr>
        <w:t xml:space="preserve">Plan Approval Order </w:t>
      </w:r>
      <w:r w:rsidR="00D669AF" w:rsidRPr="00EE4197">
        <w:rPr>
          <w:rFonts w:asciiTheme="minorHAnsi" w:hAnsiTheme="minorHAnsi"/>
          <w:sz w:val="20"/>
          <w:szCs w:val="20"/>
        </w:rPr>
        <w:t>[</w:t>
      </w:r>
      <w:r w:rsidR="001B4AED" w:rsidRPr="00EE4197">
        <w:rPr>
          <w:rFonts w:asciiTheme="minorHAnsi" w:hAnsiTheme="minorHAnsi"/>
          <w:sz w:val="20"/>
          <w:szCs w:val="20"/>
        </w:rPr>
        <w:t>NAMPAO</w:t>
      </w:r>
      <w:r w:rsidR="000347CB" w:rsidRPr="00EE4197">
        <w:rPr>
          <w:rFonts w:asciiTheme="minorHAnsi" w:hAnsiTheme="minorHAnsi"/>
          <w:sz w:val="20"/>
          <w:szCs w:val="20"/>
        </w:rPr>
        <w:t>]</w:t>
      </w:r>
      <w:r w:rsidR="00092F5D" w:rsidRPr="00EE4197">
        <w:rPr>
          <w:rFonts w:asciiTheme="minorHAnsi" w:hAnsiTheme="minorHAnsi"/>
          <w:sz w:val="20"/>
          <w:szCs w:val="20"/>
        </w:rPr>
        <w:t xml:space="preserve"> </w:t>
      </w:r>
      <w:r w:rsidR="00897425" w:rsidRPr="00EE4197">
        <w:rPr>
          <w:rFonts w:asciiTheme="minorHAnsi" w:hAnsiTheme="minorHAnsi"/>
          <w:sz w:val="20"/>
          <w:szCs w:val="20"/>
        </w:rPr>
        <w:t>designating</w:t>
      </w:r>
      <w:r w:rsidR="00021B38" w:rsidRPr="00EE4197">
        <w:rPr>
          <w:rFonts w:asciiTheme="minorHAnsi" w:hAnsiTheme="minorHAnsi"/>
          <w:sz w:val="20"/>
          <w:szCs w:val="20"/>
        </w:rPr>
        <w:t xml:space="preserve"> a TPOC beyond the source property</w:t>
      </w:r>
      <w:r w:rsidR="009759A5" w:rsidRPr="00EE4197">
        <w:rPr>
          <w:rFonts w:asciiTheme="minorHAnsi" w:hAnsiTheme="minorHAnsi"/>
          <w:sz w:val="20"/>
          <w:szCs w:val="20"/>
        </w:rPr>
        <w:t xml:space="preserve"> </w:t>
      </w:r>
      <w:r w:rsidR="00D669AF" w:rsidRPr="00EE4197">
        <w:rPr>
          <w:rFonts w:asciiTheme="minorHAnsi" w:hAnsiTheme="minorHAnsi"/>
          <w:sz w:val="20"/>
          <w:szCs w:val="20"/>
        </w:rPr>
        <w:t>boundary</w:t>
      </w:r>
      <w:r w:rsidR="00021B38" w:rsidRPr="00EE4197">
        <w:rPr>
          <w:rFonts w:asciiTheme="minorHAnsi" w:hAnsiTheme="minorHAnsi"/>
          <w:sz w:val="20"/>
          <w:szCs w:val="20"/>
        </w:rPr>
        <w:t>)</w:t>
      </w:r>
      <w:r w:rsidR="00C717AD" w:rsidRPr="00EE4197">
        <w:rPr>
          <w:rFonts w:asciiTheme="minorHAnsi" w:hAnsiTheme="minorHAnsi"/>
          <w:sz w:val="20"/>
          <w:szCs w:val="20"/>
        </w:rPr>
        <w:t>,</w:t>
      </w:r>
      <w:r w:rsidRPr="00EE4197">
        <w:rPr>
          <w:rFonts w:asciiTheme="minorHAnsi" w:hAnsiTheme="minorHAnsi"/>
          <w:sz w:val="20"/>
          <w:szCs w:val="20"/>
        </w:rPr>
        <w:t xml:space="preserve"> the PRSR </w:t>
      </w:r>
      <w:r w:rsidR="00FE3A9B" w:rsidRPr="00EE4197">
        <w:rPr>
          <w:rFonts w:asciiTheme="minorHAnsi" w:hAnsiTheme="minorHAnsi"/>
          <w:sz w:val="20"/>
          <w:szCs w:val="20"/>
        </w:rPr>
        <w:t>must</w:t>
      </w:r>
      <w:r w:rsidRPr="00EE4197">
        <w:rPr>
          <w:rFonts w:asciiTheme="minorHAnsi" w:hAnsiTheme="minorHAnsi"/>
          <w:sz w:val="20"/>
          <w:szCs w:val="20"/>
        </w:rPr>
        <w:t xml:space="preserve"> provide </w:t>
      </w:r>
      <w:r w:rsidR="00C12EEA" w:rsidRPr="00EE4197">
        <w:rPr>
          <w:rFonts w:asciiTheme="minorHAnsi" w:hAnsiTheme="minorHAnsi"/>
          <w:sz w:val="20"/>
          <w:szCs w:val="20"/>
        </w:rPr>
        <w:t xml:space="preserve">actual </w:t>
      </w:r>
      <w:r w:rsidRPr="00EE4197">
        <w:rPr>
          <w:rFonts w:asciiTheme="minorHAnsi" w:hAnsiTheme="minorHAnsi"/>
          <w:sz w:val="20"/>
          <w:szCs w:val="20"/>
        </w:rPr>
        <w:t>notice</w:t>
      </w:r>
      <w:r w:rsidR="00C12EEA" w:rsidRPr="00EE4197">
        <w:rPr>
          <w:rFonts w:asciiTheme="minorHAnsi" w:hAnsiTheme="minorHAnsi"/>
          <w:sz w:val="20"/>
          <w:szCs w:val="20"/>
        </w:rPr>
        <w:t xml:space="preserve"> by </w:t>
      </w:r>
      <w:r w:rsidR="00AA0E3B" w:rsidRPr="00EE4197">
        <w:rPr>
          <w:rFonts w:asciiTheme="minorHAnsi" w:hAnsiTheme="minorHAnsi"/>
          <w:sz w:val="20"/>
          <w:szCs w:val="20"/>
        </w:rPr>
        <w:t>certified mail</w:t>
      </w:r>
      <w:r w:rsidR="008921EC">
        <w:rPr>
          <w:rFonts w:asciiTheme="minorHAnsi" w:hAnsiTheme="minorHAnsi"/>
          <w:sz w:val="20"/>
          <w:szCs w:val="20"/>
        </w:rPr>
        <w:t xml:space="preserve"> with return receipt requested </w:t>
      </w:r>
      <w:r w:rsidR="008921EC" w:rsidRPr="008921EC">
        <w:rPr>
          <w:rFonts w:asciiTheme="minorHAnsi" w:hAnsiTheme="minorHAnsi"/>
          <w:sz w:val="20"/>
          <w:szCs w:val="20"/>
        </w:rPr>
        <w:t>or other form of delivery that provides confirmation of receipt</w:t>
      </w:r>
      <w:r w:rsidR="008921EC">
        <w:rPr>
          <w:rFonts w:asciiTheme="minorHAnsi" w:hAnsiTheme="minorHAnsi"/>
          <w:sz w:val="20"/>
          <w:szCs w:val="20"/>
        </w:rPr>
        <w:t xml:space="preserve"> (certified/confirmed mail)</w:t>
      </w:r>
      <w:r w:rsidRPr="00EE4197">
        <w:rPr>
          <w:rFonts w:asciiTheme="minorHAnsi" w:hAnsiTheme="minorHAnsi"/>
          <w:sz w:val="20"/>
          <w:szCs w:val="20"/>
        </w:rPr>
        <w:t xml:space="preserve"> </w:t>
      </w:r>
      <w:r w:rsidR="00FE3A9B" w:rsidRPr="00EE4197">
        <w:rPr>
          <w:rFonts w:asciiTheme="minorHAnsi" w:hAnsiTheme="minorHAnsi"/>
          <w:sz w:val="20"/>
          <w:szCs w:val="20"/>
        </w:rPr>
        <w:t>t</w:t>
      </w:r>
      <w:r w:rsidR="00FE3A9B" w:rsidRPr="00EE4197">
        <w:rPr>
          <w:rFonts w:asciiTheme="minorHAnsi" w:hAnsiTheme="minorHAnsi"/>
          <w:color w:val="auto"/>
          <w:sz w:val="20"/>
          <w:szCs w:val="20"/>
        </w:rPr>
        <w:t xml:space="preserve">o </w:t>
      </w:r>
      <w:r w:rsidR="00D33BFC" w:rsidRPr="00EE4197">
        <w:rPr>
          <w:rFonts w:asciiTheme="minorHAnsi" w:eastAsia="Times New Roman" w:hAnsiTheme="minorHAnsi"/>
          <w:color w:val="auto"/>
          <w:sz w:val="20"/>
        </w:rPr>
        <w:t>the appropriate County Health Department</w:t>
      </w:r>
      <w:r w:rsidR="00C717AD" w:rsidRPr="00EE4197">
        <w:rPr>
          <w:rFonts w:asciiTheme="minorHAnsi" w:eastAsia="Times New Roman" w:hAnsiTheme="minorHAnsi"/>
          <w:color w:val="auto"/>
          <w:sz w:val="20"/>
        </w:rPr>
        <w:t xml:space="preserve"> and the owners of any property into which the TPOC</w:t>
      </w:r>
      <w:r w:rsidR="00021B38" w:rsidRPr="00EE4197">
        <w:rPr>
          <w:rFonts w:asciiTheme="minorHAnsi" w:eastAsia="Times New Roman" w:hAnsiTheme="minorHAnsi"/>
          <w:color w:val="auto"/>
          <w:sz w:val="20"/>
        </w:rPr>
        <w:t xml:space="preserve"> will be</w:t>
      </w:r>
      <w:r w:rsidR="00C717AD" w:rsidRPr="00EE4197">
        <w:rPr>
          <w:rFonts w:asciiTheme="minorHAnsi" w:eastAsia="Times New Roman" w:hAnsiTheme="minorHAnsi"/>
          <w:color w:val="auto"/>
          <w:sz w:val="20"/>
        </w:rPr>
        <w:t xml:space="preserve"> extended</w:t>
      </w:r>
      <w:r w:rsidR="001057A1" w:rsidRPr="00EE4197">
        <w:rPr>
          <w:rFonts w:asciiTheme="minorHAnsi" w:eastAsia="Times New Roman" w:hAnsiTheme="minorHAnsi"/>
          <w:color w:val="auto"/>
          <w:sz w:val="20"/>
        </w:rPr>
        <w:t>.</w:t>
      </w:r>
      <w:r w:rsidR="00FA749E">
        <w:rPr>
          <w:rFonts w:asciiTheme="minorHAnsi" w:eastAsia="Times New Roman" w:hAnsiTheme="minorHAnsi"/>
          <w:color w:val="auto"/>
          <w:sz w:val="20"/>
        </w:rPr>
        <w:t xml:space="preserve"> </w:t>
      </w:r>
      <w:r w:rsidR="001057A1" w:rsidRPr="00EE4197">
        <w:rPr>
          <w:rFonts w:asciiTheme="minorHAnsi" w:eastAsia="Times New Roman" w:hAnsiTheme="minorHAnsi"/>
          <w:color w:val="auto"/>
          <w:sz w:val="20"/>
        </w:rPr>
        <w:t>C</w:t>
      </w:r>
      <w:r w:rsidR="00C717AD" w:rsidRPr="00EE4197">
        <w:rPr>
          <w:rFonts w:asciiTheme="minorHAnsi" w:eastAsia="Times New Roman" w:hAnsiTheme="minorHAnsi"/>
          <w:color w:val="auto"/>
          <w:sz w:val="20"/>
        </w:rPr>
        <w:t>onstructive notice</w:t>
      </w:r>
      <w:r w:rsidR="002D535E" w:rsidRPr="00EE4197">
        <w:rPr>
          <w:rStyle w:val="FootnoteReference"/>
          <w:rFonts w:asciiTheme="minorHAnsi" w:eastAsia="Times New Roman" w:hAnsiTheme="minorHAnsi"/>
          <w:color w:val="auto"/>
          <w:sz w:val="20"/>
        </w:rPr>
        <w:footnoteReference w:id="1"/>
      </w:r>
      <w:r w:rsidR="00C717AD" w:rsidRPr="00EE4197">
        <w:rPr>
          <w:rFonts w:asciiTheme="minorHAnsi" w:eastAsia="Times New Roman" w:hAnsiTheme="minorHAnsi"/>
          <w:color w:val="auto"/>
          <w:sz w:val="20"/>
        </w:rPr>
        <w:t xml:space="preserve"> </w:t>
      </w:r>
      <w:r w:rsidR="00C12EEA" w:rsidRPr="00EE4197">
        <w:rPr>
          <w:rFonts w:asciiTheme="minorHAnsi" w:eastAsia="Times New Roman" w:hAnsiTheme="minorHAnsi"/>
          <w:color w:val="auto"/>
          <w:sz w:val="20"/>
        </w:rPr>
        <w:t>(by publication)</w:t>
      </w:r>
      <w:r w:rsidR="001057A1" w:rsidRPr="00EE4197">
        <w:rPr>
          <w:rFonts w:asciiTheme="minorHAnsi" w:eastAsia="Times New Roman" w:hAnsiTheme="minorHAnsi"/>
          <w:color w:val="auto"/>
          <w:sz w:val="20"/>
        </w:rPr>
        <w:t xml:space="preserve"> is provided</w:t>
      </w:r>
      <w:r w:rsidR="00C12EEA" w:rsidRPr="00EE4197">
        <w:rPr>
          <w:rFonts w:asciiTheme="minorHAnsi" w:eastAsia="Times New Roman" w:hAnsiTheme="minorHAnsi"/>
          <w:color w:val="auto"/>
          <w:sz w:val="20"/>
        </w:rPr>
        <w:t xml:space="preserve"> </w:t>
      </w:r>
      <w:r w:rsidR="001057A1" w:rsidRPr="00EE4197">
        <w:rPr>
          <w:rFonts w:asciiTheme="minorHAnsi" w:eastAsia="Times New Roman" w:hAnsiTheme="minorHAnsi"/>
          <w:color w:val="auto"/>
          <w:sz w:val="20"/>
        </w:rPr>
        <w:t>for</w:t>
      </w:r>
      <w:r w:rsidR="00C717AD" w:rsidRPr="00EE4197">
        <w:rPr>
          <w:rFonts w:asciiTheme="minorHAnsi" w:eastAsia="Times New Roman" w:hAnsiTheme="minorHAnsi"/>
          <w:color w:val="auto"/>
          <w:sz w:val="20"/>
        </w:rPr>
        <w:t xml:space="preserve"> residents and business tenants of propert</w:t>
      </w:r>
      <w:r w:rsidR="001057A1" w:rsidRPr="00EE4197">
        <w:rPr>
          <w:rFonts w:asciiTheme="minorHAnsi" w:eastAsia="Times New Roman" w:hAnsiTheme="minorHAnsi"/>
          <w:color w:val="auto"/>
          <w:sz w:val="20"/>
        </w:rPr>
        <w:t>ies</w:t>
      </w:r>
      <w:r w:rsidR="00C717AD" w:rsidRPr="00EE4197">
        <w:rPr>
          <w:rFonts w:asciiTheme="minorHAnsi" w:eastAsia="Times New Roman" w:hAnsiTheme="minorHAnsi"/>
          <w:color w:val="auto"/>
          <w:sz w:val="20"/>
        </w:rPr>
        <w:t xml:space="preserve"> into which the </w:t>
      </w:r>
      <w:r w:rsidR="00021B38" w:rsidRPr="00EE4197">
        <w:rPr>
          <w:rFonts w:asciiTheme="minorHAnsi" w:eastAsia="Times New Roman" w:hAnsiTheme="minorHAnsi"/>
          <w:color w:val="auto"/>
          <w:sz w:val="20"/>
        </w:rPr>
        <w:t>TPOC will be</w:t>
      </w:r>
      <w:r w:rsidR="00C717AD" w:rsidRPr="00EE4197">
        <w:rPr>
          <w:rFonts w:asciiTheme="minorHAnsi" w:eastAsia="Times New Roman" w:hAnsiTheme="minorHAnsi"/>
          <w:color w:val="auto"/>
          <w:sz w:val="20"/>
        </w:rPr>
        <w:t xml:space="preserve"> extended</w:t>
      </w:r>
      <w:r w:rsidR="00C717AD" w:rsidRPr="00EE4197">
        <w:rPr>
          <w:rFonts w:asciiTheme="minorHAnsi" w:hAnsiTheme="minorHAnsi"/>
          <w:color w:val="auto"/>
          <w:sz w:val="20"/>
          <w:szCs w:val="20"/>
        </w:rPr>
        <w:t>.</w:t>
      </w:r>
      <w:r w:rsidR="00FA749E">
        <w:rPr>
          <w:rFonts w:asciiTheme="minorHAnsi" w:hAnsiTheme="minorHAnsi"/>
          <w:color w:val="auto"/>
          <w:sz w:val="20"/>
          <w:szCs w:val="20"/>
        </w:rPr>
        <w:t xml:space="preserve"> </w:t>
      </w:r>
      <w:r w:rsidR="00C717AD" w:rsidRPr="00EE4197">
        <w:rPr>
          <w:rFonts w:asciiTheme="minorHAnsi" w:hAnsiTheme="minorHAnsi"/>
          <w:color w:val="auto"/>
          <w:sz w:val="20"/>
          <w:szCs w:val="20"/>
        </w:rPr>
        <w:t>T</w:t>
      </w:r>
      <w:r w:rsidR="00C717AD" w:rsidRPr="00EE4197">
        <w:rPr>
          <w:rFonts w:asciiTheme="minorHAnsi" w:hAnsiTheme="minorHAnsi"/>
          <w:sz w:val="20"/>
          <w:szCs w:val="20"/>
        </w:rPr>
        <w:t>he notice</w:t>
      </w:r>
      <w:r w:rsidR="00C12EEA" w:rsidRPr="00EE4197">
        <w:rPr>
          <w:rFonts w:asciiTheme="minorHAnsi" w:hAnsiTheme="minorHAnsi"/>
          <w:sz w:val="20"/>
          <w:szCs w:val="20"/>
        </w:rPr>
        <w:t>s</w:t>
      </w:r>
      <w:r w:rsidR="00FF2610" w:rsidRPr="00EE4197">
        <w:rPr>
          <w:rFonts w:asciiTheme="minorHAnsi" w:hAnsiTheme="minorHAnsi"/>
          <w:sz w:val="20"/>
          <w:szCs w:val="20"/>
        </w:rPr>
        <w:t xml:space="preserve"> provide 30-day</w:t>
      </w:r>
      <w:r w:rsidR="00C717AD" w:rsidRPr="00EE4197">
        <w:rPr>
          <w:rFonts w:asciiTheme="minorHAnsi" w:hAnsiTheme="minorHAnsi"/>
          <w:sz w:val="20"/>
          <w:szCs w:val="20"/>
        </w:rPr>
        <w:t xml:space="preserve"> comment period</w:t>
      </w:r>
      <w:r w:rsidR="00C12EEA" w:rsidRPr="00EE4197">
        <w:rPr>
          <w:rFonts w:asciiTheme="minorHAnsi" w:hAnsiTheme="minorHAnsi"/>
          <w:sz w:val="20"/>
          <w:szCs w:val="20"/>
        </w:rPr>
        <w:t xml:space="preserve">s </w:t>
      </w:r>
      <w:r w:rsidR="00C717AD" w:rsidRPr="00EE4197">
        <w:rPr>
          <w:rFonts w:asciiTheme="minorHAnsi" w:hAnsiTheme="minorHAnsi"/>
          <w:sz w:val="20"/>
          <w:szCs w:val="20"/>
        </w:rPr>
        <w:t>(see</w:t>
      </w:r>
      <w:r w:rsidRPr="00EE4197">
        <w:rPr>
          <w:rFonts w:asciiTheme="minorHAnsi" w:hAnsiTheme="minorHAnsi"/>
          <w:sz w:val="20"/>
          <w:szCs w:val="20"/>
        </w:rPr>
        <w:t xml:space="preserve"> subsection 62-780.220(3), F.A.C</w:t>
      </w:r>
      <w:r w:rsidR="003B524F" w:rsidRPr="00EE4197">
        <w:rPr>
          <w:rFonts w:asciiTheme="minorHAnsi" w:hAnsiTheme="minorHAnsi"/>
          <w:sz w:val="20"/>
          <w:szCs w:val="20"/>
        </w:rPr>
        <w:t>.</w:t>
      </w:r>
      <w:r w:rsidR="00C717AD" w:rsidRPr="00EE4197">
        <w:rPr>
          <w:rFonts w:asciiTheme="minorHAnsi" w:hAnsiTheme="minorHAnsi"/>
          <w:sz w:val="20"/>
          <w:szCs w:val="20"/>
        </w:rPr>
        <w:t>)</w:t>
      </w:r>
      <w:r w:rsidR="00073532" w:rsidRPr="00EE4197">
        <w:rPr>
          <w:rFonts w:asciiTheme="minorHAnsi" w:hAnsiTheme="minorHAnsi"/>
          <w:sz w:val="20"/>
          <w:szCs w:val="20"/>
        </w:rPr>
        <w:t>.</w:t>
      </w:r>
      <w:r w:rsidR="00FA749E">
        <w:rPr>
          <w:rFonts w:asciiTheme="minorHAnsi" w:hAnsiTheme="minorHAnsi"/>
          <w:sz w:val="20"/>
          <w:szCs w:val="20"/>
        </w:rPr>
        <w:t xml:space="preserve"> </w:t>
      </w:r>
      <w:proofErr w:type="gramStart"/>
      <w:r w:rsidR="0048226B" w:rsidRPr="00EE4197">
        <w:rPr>
          <w:rFonts w:asciiTheme="minorHAnsi" w:hAnsiTheme="minorHAnsi"/>
          <w:sz w:val="20"/>
          <w:szCs w:val="20"/>
        </w:rPr>
        <w:t>As long as</w:t>
      </w:r>
      <w:proofErr w:type="gramEnd"/>
      <w:r w:rsidR="0048226B" w:rsidRPr="00EE4197">
        <w:rPr>
          <w:rFonts w:asciiTheme="minorHAnsi" w:hAnsiTheme="minorHAnsi"/>
          <w:sz w:val="20"/>
          <w:szCs w:val="20"/>
        </w:rPr>
        <w:t xml:space="preserve"> contamination exists off-property, a</w:t>
      </w:r>
      <w:r w:rsidR="00C717AD" w:rsidRPr="00EE4197">
        <w:rPr>
          <w:rFonts w:asciiTheme="minorHAnsi" w:hAnsiTheme="minorHAnsi"/>
          <w:sz w:val="20"/>
          <w:szCs w:val="20"/>
        </w:rPr>
        <w:t>dditional notices are required every 5 years.</w:t>
      </w:r>
    </w:p>
    <w:p w14:paraId="4F38F486" w14:textId="77777777" w:rsidR="00AA0E3B" w:rsidRPr="00EE4197" w:rsidRDefault="00AA0E3B" w:rsidP="00021B38">
      <w:pPr>
        <w:pStyle w:val="Default"/>
        <w:ind w:right="-61"/>
        <w:rPr>
          <w:rFonts w:asciiTheme="minorHAnsi" w:hAnsiTheme="minorHAnsi"/>
          <w:sz w:val="20"/>
          <w:szCs w:val="20"/>
        </w:rPr>
      </w:pPr>
    </w:p>
    <w:p w14:paraId="5709A3AD" w14:textId="77777777" w:rsidR="00AA0E3B" w:rsidRPr="00EE4197" w:rsidRDefault="00EC22CF" w:rsidP="00021B38">
      <w:pPr>
        <w:pStyle w:val="Default"/>
        <w:ind w:right="-61"/>
        <w:rPr>
          <w:rFonts w:asciiTheme="minorHAnsi" w:hAnsiTheme="minorHAnsi"/>
          <w:sz w:val="20"/>
          <w:szCs w:val="20"/>
        </w:rPr>
      </w:pPr>
      <w:r w:rsidRPr="00EE4197">
        <w:rPr>
          <w:rFonts w:asciiTheme="minorHAnsi" w:hAnsiTheme="minorHAnsi"/>
          <w:sz w:val="20"/>
          <w:szCs w:val="20"/>
        </w:rPr>
        <w:t>Process</w:t>
      </w:r>
      <w:r w:rsidR="000347CB" w:rsidRPr="00EE4197">
        <w:rPr>
          <w:rFonts w:asciiTheme="minorHAnsi" w:hAnsiTheme="minorHAnsi"/>
          <w:sz w:val="20"/>
          <w:szCs w:val="20"/>
        </w:rPr>
        <w:t xml:space="preserve"> Steps</w:t>
      </w:r>
      <w:r w:rsidR="00AA0E3B" w:rsidRPr="00EE4197">
        <w:rPr>
          <w:rFonts w:asciiTheme="minorHAnsi" w:hAnsiTheme="minorHAnsi"/>
          <w:sz w:val="20"/>
          <w:szCs w:val="20"/>
        </w:rPr>
        <w:t>:</w:t>
      </w:r>
    </w:p>
    <w:p w14:paraId="27D90C60" w14:textId="77777777" w:rsidR="00734914" w:rsidRPr="00EE4197" w:rsidRDefault="00734914" w:rsidP="00AE2738">
      <w:pPr>
        <w:spacing w:after="0" w:line="240" w:lineRule="atLeast"/>
        <w:ind w:right="-58"/>
        <w:jc w:val="center"/>
        <w:rPr>
          <w:rFonts w:eastAsia="Calibri" w:cs="Times New Roman"/>
          <w:sz w:val="20"/>
          <w:szCs w:val="20"/>
        </w:rPr>
      </w:pPr>
    </w:p>
    <w:p w14:paraId="76B7BEA1" w14:textId="73B7B219" w:rsidR="00C3253E" w:rsidRPr="002A5545" w:rsidRDefault="00C942DC" w:rsidP="002A5545">
      <w:pPr>
        <w:spacing w:after="120" w:line="240" w:lineRule="auto"/>
        <w:ind w:left="360" w:right="-58"/>
        <w:rPr>
          <w:sz w:val="20"/>
          <w:szCs w:val="20"/>
        </w:rPr>
      </w:pPr>
      <w:r w:rsidRPr="00EE4197">
        <w:rPr>
          <w:sz w:val="20"/>
          <w:szCs w:val="20"/>
        </w:rPr>
        <w:t>1</w:t>
      </w:r>
      <w:r w:rsidR="007F19F9" w:rsidRPr="00EE4197">
        <w:rPr>
          <w:sz w:val="20"/>
          <w:szCs w:val="20"/>
        </w:rPr>
        <w:t>.</w:t>
      </w:r>
      <w:r w:rsidR="007F19F9" w:rsidRPr="00EE4197">
        <w:rPr>
          <w:sz w:val="20"/>
          <w:szCs w:val="20"/>
        </w:rPr>
        <w:tab/>
      </w:r>
      <w:r w:rsidR="00C3253E" w:rsidRPr="00EE4197">
        <w:rPr>
          <w:sz w:val="20"/>
          <w:szCs w:val="20"/>
        </w:rPr>
        <w:t xml:space="preserve">The </w:t>
      </w:r>
      <w:r w:rsidR="00734914" w:rsidRPr="00EE4197">
        <w:rPr>
          <w:sz w:val="20"/>
          <w:szCs w:val="20"/>
        </w:rPr>
        <w:t xml:space="preserve">PRSR submits </w:t>
      </w:r>
      <w:r w:rsidR="00C3253E" w:rsidRPr="00EE4197">
        <w:rPr>
          <w:sz w:val="20"/>
          <w:szCs w:val="20"/>
        </w:rPr>
        <w:t xml:space="preserve">a </w:t>
      </w:r>
      <w:r w:rsidR="001057A1" w:rsidRPr="00EE4197">
        <w:rPr>
          <w:sz w:val="20"/>
          <w:szCs w:val="20"/>
        </w:rPr>
        <w:t>RAP</w:t>
      </w:r>
      <w:r w:rsidR="00EC22CF" w:rsidRPr="00EE4197">
        <w:rPr>
          <w:sz w:val="20"/>
          <w:szCs w:val="20"/>
        </w:rPr>
        <w:t xml:space="preserve"> or NAMP</w:t>
      </w:r>
      <w:r w:rsidR="00734914" w:rsidRPr="00EE4197">
        <w:rPr>
          <w:sz w:val="20"/>
          <w:szCs w:val="20"/>
        </w:rPr>
        <w:t xml:space="preserve"> with </w:t>
      </w:r>
      <w:r w:rsidR="00800EAB" w:rsidRPr="00EE4197">
        <w:rPr>
          <w:sz w:val="20"/>
          <w:szCs w:val="20"/>
        </w:rPr>
        <w:t xml:space="preserve">a </w:t>
      </w:r>
      <w:r w:rsidR="00734914" w:rsidRPr="00EE4197">
        <w:rPr>
          <w:sz w:val="20"/>
          <w:szCs w:val="20"/>
        </w:rPr>
        <w:t>proposed TPOC</w:t>
      </w:r>
      <w:r w:rsidR="00800EAB" w:rsidRPr="00EE4197">
        <w:rPr>
          <w:sz w:val="20"/>
          <w:szCs w:val="20"/>
        </w:rPr>
        <w:t>.</w:t>
      </w:r>
    </w:p>
    <w:p w14:paraId="17B21FB6" w14:textId="53A6156B" w:rsidR="00570F76" w:rsidRPr="002A5545" w:rsidRDefault="00C942DC" w:rsidP="002A5545">
      <w:pPr>
        <w:spacing w:after="120" w:line="240" w:lineRule="auto"/>
        <w:ind w:left="1080" w:right="-58" w:hanging="360"/>
        <w:rPr>
          <w:sz w:val="20"/>
          <w:szCs w:val="20"/>
        </w:rPr>
      </w:pPr>
      <w:r w:rsidRPr="00EE4197">
        <w:rPr>
          <w:sz w:val="20"/>
          <w:szCs w:val="20"/>
        </w:rPr>
        <w:t>A</w:t>
      </w:r>
      <w:r w:rsidR="007F19F9" w:rsidRPr="00EE4197">
        <w:rPr>
          <w:sz w:val="20"/>
          <w:szCs w:val="20"/>
        </w:rPr>
        <w:t>.</w:t>
      </w:r>
      <w:r w:rsidR="007F19F9" w:rsidRPr="00EE4197">
        <w:rPr>
          <w:sz w:val="20"/>
          <w:szCs w:val="20"/>
        </w:rPr>
        <w:tab/>
      </w:r>
      <w:r w:rsidR="00E94A6F">
        <w:rPr>
          <w:sz w:val="20"/>
          <w:szCs w:val="20"/>
        </w:rPr>
        <w:t xml:space="preserve">FDEP </w:t>
      </w:r>
      <w:r w:rsidR="00734914" w:rsidRPr="00EE4197">
        <w:rPr>
          <w:sz w:val="20"/>
          <w:szCs w:val="20"/>
        </w:rPr>
        <w:t xml:space="preserve">reviews </w:t>
      </w:r>
      <w:r w:rsidR="001057A1" w:rsidRPr="00EE4197">
        <w:rPr>
          <w:sz w:val="20"/>
          <w:szCs w:val="20"/>
        </w:rPr>
        <w:t xml:space="preserve">the </w:t>
      </w:r>
      <w:r w:rsidR="00734914" w:rsidRPr="00EE4197">
        <w:rPr>
          <w:sz w:val="20"/>
          <w:szCs w:val="20"/>
        </w:rPr>
        <w:t xml:space="preserve">RAP </w:t>
      </w:r>
      <w:r w:rsidR="00EC22CF" w:rsidRPr="00EE4197">
        <w:rPr>
          <w:sz w:val="20"/>
          <w:szCs w:val="20"/>
        </w:rPr>
        <w:t xml:space="preserve">or NAMP </w:t>
      </w:r>
      <w:r w:rsidR="00734914" w:rsidRPr="00EE4197">
        <w:rPr>
          <w:sz w:val="20"/>
          <w:szCs w:val="20"/>
        </w:rPr>
        <w:t xml:space="preserve">and </w:t>
      </w:r>
      <w:r w:rsidR="000C5A7E" w:rsidRPr="00EE4197">
        <w:rPr>
          <w:sz w:val="20"/>
          <w:szCs w:val="20"/>
        </w:rPr>
        <w:t xml:space="preserve">proposed </w:t>
      </w:r>
      <w:r w:rsidR="00734914" w:rsidRPr="00EE4197">
        <w:rPr>
          <w:sz w:val="20"/>
          <w:szCs w:val="20"/>
        </w:rPr>
        <w:t>TPOC</w:t>
      </w:r>
      <w:r w:rsidR="00EC22CF" w:rsidRPr="00EE4197">
        <w:rPr>
          <w:sz w:val="20"/>
          <w:szCs w:val="20"/>
        </w:rPr>
        <w:t>.</w:t>
      </w:r>
      <w:r w:rsidR="00FA749E">
        <w:rPr>
          <w:sz w:val="20"/>
          <w:szCs w:val="20"/>
        </w:rPr>
        <w:t xml:space="preserve"> </w:t>
      </w:r>
      <w:r w:rsidR="00092F5D" w:rsidRPr="00EE4197">
        <w:rPr>
          <w:sz w:val="20"/>
          <w:szCs w:val="20"/>
        </w:rPr>
        <w:t>W</w:t>
      </w:r>
      <w:r w:rsidR="00021B38" w:rsidRPr="00EE4197">
        <w:rPr>
          <w:sz w:val="20"/>
          <w:szCs w:val="20"/>
        </w:rPr>
        <w:t>hen</w:t>
      </w:r>
      <w:r w:rsidR="00734914" w:rsidRPr="00EE4197">
        <w:rPr>
          <w:sz w:val="20"/>
          <w:szCs w:val="20"/>
        </w:rPr>
        <w:t xml:space="preserve"> both </w:t>
      </w:r>
      <w:r w:rsidR="00092F5D" w:rsidRPr="00EE4197">
        <w:rPr>
          <w:sz w:val="20"/>
          <w:szCs w:val="20"/>
        </w:rPr>
        <w:t xml:space="preserve">the plan and proposed TPOC </w:t>
      </w:r>
      <w:r w:rsidR="00734914" w:rsidRPr="00EE4197">
        <w:rPr>
          <w:sz w:val="20"/>
          <w:szCs w:val="20"/>
        </w:rPr>
        <w:t xml:space="preserve">are found to be acceptable, </w:t>
      </w:r>
      <w:r w:rsidR="00E94A6F">
        <w:rPr>
          <w:sz w:val="20"/>
          <w:szCs w:val="20"/>
        </w:rPr>
        <w:t>FDEP</w:t>
      </w:r>
      <w:r w:rsidR="00092F5D" w:rsidRPr="00EE4197">
        <w:rPr>
          <w:sz w:val="20"/>
          <w:szCs w:val="20"/>
        </w:rPr>
        <w:t xml:space="preserve"> </w:t>
      </w:r>
      <w:r w:rsidR="00734914" w:rsidRPr="00EE4197">
        <w:rPr>
          <w:sz w:val="20"/>
          <w:szCs w:val="20"/>
        </w:rPr>
        <w:t xml:space="preserve">sends a letter to </w:t>
      </w:r>
      <w:r w:rsidR="001057A1" w:rsidRPr="00EE4197">
        <w:rPr>
          <w:sz w:val="20"/>
          <w:szCs w:val="20"/>
        </w:rPr>
        <w:t xml:space="preserve">the </w:t>
      </w:r>
      <w:r w:rsidR="00734914" w:rsidRPr="00EE4197">
        <w:rPr>
          <w:sz w:val="20"/>
          <w:szCs w:val="20"/>
        </w:rPr>
        <w:t xml:space="preserve">PRSR notifying them that </w:t>
      </w:r>
      <w:r w:rsidR="001057A1" w:rsidRPr="00EE4197">
        <w:rPr>
          <w:sz w:val="20"/>
          <w:szCs w:val="20"/>
        </w:rPr>
        <w:t>it</w:t>
      </w:r>
      <w:r w:rsidR="00734914" w:rsidRPr="00EE4197">
        <w:rPr>
          <w:sz w:val="20"/>
          <w:szCs w:val="20"/>
        </w:rPr>
        <w:t xml:space="preserve"> intend</w:t>
      </w:r>
      <w:r w:rsidR="001057A1" w:rsidRPr="00EE4197">
        <w:rPr>
          <w:sz w:val="20"/>
          <w:szCs w:val="20"/>
        </w:rPr>
        <w:t>s</w:t>
      </w:r>
      <w:r w:rsidR="00734914" w:rsidRPr="00EE4197">
        <w:rPr>
          <w:sz w:val="20"/>
          <w:szCs w:val="20"/>
        </w:rPr>
        <w:t xml:space="preserve"> to approve the RAP</w:t>
      </w:r>
      <w:r w:rsidR="00462A35" w:rsidRPr="00EE4197">
        <w:rPr>
          <w:sz w:val="20"/>
          <w:szCs w:val="20"/>
        </w:rPr>
        <w:t xml:space="preserve"> </w:t>
      </w:r>
      <w:r w:rsidR="00D669AF" w:rsidRPr="00EE4197">
        <w:rPr>
          <w:sz w:val="20"/>
          <w:szCs w:val="20"/>
        </w:rPr>
        <w:t>or NAMP</w:t>
      </w:r>
      <w:r w:rsidR="00734914" w:rsidRPr="00EE4197">
        <w:rPr>
          <w:sz w:val="20"/>
          <w:szCs w:val="20"/>
        </w:rPr>
        <w:t xml:space="preserve"> after </w:t>
      </w:r>
      <w:r w:rsidR="000A3F42" w:rsidRPr="00EE4197">
        <w:rPr>
          <w:sz w:val="20"/>
          <w:szCs w:val="20"/>
        </w:rPr>
        <w:t xml:space="preserve">the PRSR </w:t>
      </w:r>
      <w:r w:rsidR="001057A1" w:rsidRPr="00EE4197">
        <w:rPr>
          <w:sz w:val="20"/>
          <w:szCs w:val="20"/>
        </w:rPr>
        <w:t>complete</w:t>
      </w:r>
      <w:r w:rsidR="000A3F42" w:rsidRPr="00EE4197">
        <w:rPr>
          <w:sz w:val="20"/>
          <w:szCs w:val="20"/>
        </w:rPr>
        <w:t>s</w:t>
      </w:r>
      <w:r w:rsidR="00734914" w:rsidRPr="00EE4197">
        <w:rPr>
          <w:sz w:val="20"/>
          <w:szCs w:val="20"/>
        </w:rPr>
        <w:t xml:space="preserve"> the </w:t>
      </w:r>
      <w:r w:rsidR="00800EAB" w:rsidRPr="00EE4197">
        <w:rPr>
          <w:sz w:val="20"/>
          <w:szCs w:val="20"/>
        </w:rPr>
        <w:t xml:space="preserve">TPOC </w:t>
      </w:r>
      <w:r w:rsidR="00734914" w:rsidRPr="00EE4197">
        <w:rPr>
          <w:sz w:val="20"/>
          <w:szCs w:val="20"/>
        </w:rPr>
        <w:t>notice process</w:t>
      </w:r>
      <w:r w:rsidR="000A3F42" w:rsidRPr="00EE4197">
        <w:rPr>
          <w:sz w:val="20"/>
          <w:szCs w:val="20"/>
        </w:rPr>
        <w:t xml:space="preserve"> </w:t>
      </w:r>
      <w:r w:rsidR="00800EAB" w:rsidRPr="00EE4197">
        <w:rPr>
          <w:sz w:val="20"/>
          <w:szCs w:val="20"/>
        </w:rPr>
        <w:t>per the requirements of</w:t>
      </w:r>
      <w:r w:rsidR="00734914" w:rsidRPr="00EE4197">
        <w:rPr>
          <w:sz w:val="20"/>
          <w:szCs w:val="20"/>
        </w:rPr>
        <w:t xml:space="preserve"> </w:t>
      </w:r>
      <w:r w:rsidR="00800EAB" w:rsidRPr="00EE4197">
        <w:rPr>
          <w:sz w:val="20"/>
          <w:szCs w:val="20"/>
        </w:rPr>
        <w:t>R</w:t>
      </w:r>
      <w:r w:rsidR="0048226B" w:rsidRPr="00EE4197">
        <w:rPr>
          <w:sz w:val="20"/>
          <w:szCs w:val="20"/>
        </w:rPr>
        <w:t>ule 62-780.220(3)</w:t>
      </w:r>
      <w:r w:rsidR="00734914" w:rsidRPr="00EE4197">
        <w:rPr>
          <w:sz w:val="20"/>
          <w:szCs w:val="20"/>
        </w:rPr>
        <w:t>, F.A.</w:t>
      </w:r>
      <w:r w:rsidR="00800EAB" w:rsidRPr="00EE4197">
        <w:rPr>
          <w:sz w:val="20"/>
          <w:szCs w:val="20"/>
        </w:rPr>
        <w:t>C.</w:t>
      </w:r>
      <w:r w:rsidR="00734914" w:rsidRPr="00EE4197">
        <w:rPr>
          <w:sz w:val="20"/>
          <w:szCs w:val="20"/>
        </w:rPr>
        <w:t xml:space="preserve"> </w:t>
      </w:r>
    </w:p>
    <w:p w14:paraId="267603B6" w14:textId="573641EE" w:rsidR="00A8761E" w:rsidRPr="002A5545" w:rsidRDefault="00C942DC" w:rsidP="002A5545">
      <w:pPr>
        <w:spacing w:after="120" w:line="240" w:lineRule="auto"/>
        <w:ind w:left="1080" w:right="-58" w:hanging="360"/>
        <w:rPr>
          <w:sz w:val="20"/>
          <w:szCs w:val="20"/>
        </w:rPr>
      </w:pPr>
      <w:r w:rsidRPr="00EE4197">
        <w:rPr>
          <w:sz w:val="20"/>
          <w:szCs w:val="20"/>
        </w:rPr>
        <w:t>B</w:t>
      </w:r>
      <w:r w:rsidR="007F19F9" w:rsidRPr="00EE4197">
        <w:rPr>
          <w:sz w:val="20"/>
          <w:szCs w:val="20"/>
        </w:rPr>
        <w:t>.</w:t>
      </w:r>
      <w:r w:rsidR="007F19F9" w:rsidRPr="00EE4197">
        <w:rPr>
          <w:sz w:val="20"/>
          <w:szCs w:val="20"/>
        </w:rPr>
        <w:tab/>
      </w:r>
      <w:r w:rsidR="001057A1" w:rsidRPr="00EE4197">
        <w:rPr>
          <w:sz w:val="20"/>
          <w:szCs w:val="20"/>
        </w:rPr>
        <w:t xml:space="preserve">The </w:t>
      </w:r>
      <w:r w:rsidR="00800EAB" w:rsidRPr="00EE4197">
        <w:rPr>
          <w:sz w:val="20"/>
          <w:szCs w:val="20"/>
        </w:rPr>
        <w:t xml:space="preserve">PRSR </w:t>
      </w:r>
      <w:r w:rsidR="00F66F46" w:rsidRPr="00EE4197">
        <w:rPr>
          <w:sz w:val="20"/>
          <w:szCs w:val="20"/>
        </w:rPr>
        <w:t>send</w:t>
      </w:r>
      <w:r w:rsidR="00A8761E" w:rsidRPr="00EE4197">
        <w:rPr>
          <w:sz w:val="20"/>
          <w:szCs w:val="20"/>
        </w:rPr>
        <w:t>s</w:t>
      </w:r>
      <w:r w:rsidR="00800EAB" w:rsidRPr="00EE4197">
        <w:rPr>
          <w:sz w:val="20"/>
          <w:szCs w:val="20"/>
        </w:rPr>
        <w:t xml:space="preserve"> </w:t>
      </w:r>
      <w:r w:rsidR="00F66F46" w:rsidRPr="00EE4197">
        <w:rPr>
          <w:sz w:val="20"/>
          <w:szCs w:val="20"/>
        </w:rPr>
        <w:t>the TPOC notice</w:t>
      </w:r>
      <w:r w:rsidR="00734914" w:rsidRPr="00EE4197">
        <w:rPr>
          <w:sz w:val="20"/>
          <w:szCs w:val="20"/>
        </w:rPr>
        <w:t xml:space="preserve"> letters</w:t>
      </w:r>
      <w:r w:rsidR="00F66F46" w:rsidRPr="00EE4197">
        <w:rPr>
          <w:sz w:val="20"/>
          <w:szCs w:val="20"/>
        </w:rPr>
        <w:t xml:space="preserve"> by certified</w:t>
      </w:r>
      <w:r w:rsidR="008921EC">
        <w:rPr>
          <w:sz w:val="20"/>
          <w:szCs w:val="20"/>
        </w:rPr>
        <w:t>/confirmed mail</w:t>
      </w:r>
      <w:r w:rsidR="00C225D4" w:rsidRPr="00EE4197">
        <w:rPr>
          <w:sz w:val="20"/>
          <w:szCs w:val="20"/>
        </w:rPr>
        <w:t>,</w:t>
      </w:r>
      <w:r w:rsidR="00734914" w:rsidRPr="00EE4197">
        <w:rPr>
          <w:sz w:val="20"/>
          <w:szCs w:val="20"/>
        </w:rPr>
        <w:t xml:space="preserve"> to each </w:t>
      </w:r>
      <w:r w:rsidR="00AA0E3B" w:rsidRPr="00EE4197">
        <w:rPr>
          <w:sz w:val="20"/>
          <w:szCs w:val="20"/>
        </w:rPr>
        <w:t xml:space="preserve">real </w:t>
      </w:r>
      <w:r w:rsidR="00734914" w:rsidRPr="00EE4197">
        <w:rPr>
          <w:sz w:val="20"/>
          <w:szCs w:val="20"/>
        </w:rPr>
        <w:t xml:space="preserve">property owner </w:t>
      </w:r>
      <w:r w:rsidR="0048226B" w:rsidRPr="00EE4197">
        <w:rPr>
          <w:sz w:val="20"/>
          <w:szCs w:val="20"/>
        </w:rPr>
        <w:t>(</w:t>
      </w:r>
      <w:r w:rsidR="00AA0E3B" w:rsidRPr="00EE4197">
        <w:rPr>
          <w:sz w:val="20"/>
          <w:szCs w:val="20"/>
        </w:rPr>
        <w:t>R</w:t>
      </w:r>
      <w:r w:rsidR="0048226B" w:rsidRPr="00EE4197">
        <w:rPr>
          <w:sz w:val="20"/>
          <w:szCs w:val="20"/>
        </w:rPr>
        <w:t xml:space="preserve">PO) </w:t>
      </w:r>
      <w:r w:rsidR="00F61362" w:rsidRPr="00EE4197">
        <w:rPr>
          <w:sz w:val="20"/>
          <w:szCs w:val="20"/>
        </w:rPr>
        <w:t xml:space="preserve">whose property is crossed by or lies </w:t>
      </w:r>
      <w:r w:rsidR="00800EAB" w:rsidRPr="00EE4197">
        <w:rPr>
          <w:sz w:val="20"/>
          <w:szCs w:val="20"/>
        </w:rPr>
        <w:t xml:space="preserve">within </w:t>
      </w:r>
      <w:r w:rsidR="00C225D4" w:rsidRPr="00EE4197">
        <w:rPr>
          <w:sz w:val="20"/>
          <w:szCs w:val="20"/>
        </w:rPr>
        <w:t xml:space="preserve">the </w:t>
      </w:r>
      <w:r w:rsidR="0048226B" w:rsidRPr="00EE4197">
        <w:rPr>
          <w:sz w:val="20"/>
          <w:szCs w:val="20"/>
        </w:rPr>
        <w:t xml:space="preserve">boundary of the </w:t>
      </w:r>
      <w:r w:rsidR="00800EAB" w:rsidRPr="00EE4197">
        <w:rPr>
          <w:sz w:val="20"/>
          <w:szCs w:val="20"/>
        </w:rPr>
        <w:t>proposed TPOC</w:t>
      </w:r>
      <w:r w:rsidR="00D33BFC" w:rsidRPr="00EE4197">
        <w:rPr>
          <w:sz w:val="20"/>
          <w:szCs w:val="20"/>
        </w:rPr>
        <w:t xml:space="preserve"> and to the appropriate County Health Department</w:t>
      </w:r>
      <w:r w:rsidR="00800EAB" w:rsidRPr="00EE4197">
        <w:rPr>
          <w:sz w:val="20"/>
          <w:szCs w:val="20"/>
        </w:rPr>
        <w:t>.</w:t>
      </w:r>
      <w:r w:rsidR="00FA749E">
        <w:rPr>
          <w:sz w:val="20"/>
          <w:szCs w:val="20"/>
        </w:rPr>
        <w:t xml:space="preserve"> </w:t>
      </w:r>
      <w:r w:rsidR="00AA0E3B" w:rsidRPr="00EE4197">
        <w:rPr>
          <w:sz w:val="20"/>
          <w:szCs w:val="20"/>
        </w:rPr>
        <w:t>Real p</w:t>
      </w:r>
      <w:r w:rsidR="00800EAB" w:rsidRPr="00EE4197">
        <w:rPr>
          <w:sz w:val="20"/>
          <w:szCs w:val="20"/>
        </w:rPr>
        <w:t xml:space="preserve">roperty owners are </w:t>
      </w:r>
      <w:r w:rsidR="00734914" w:rsidRPr="00EE4197">
        <w:rPr>
          <w:sz w:val="20"/>
          <w:szCs w:val="20"/>
        </w:rPr>
        <w:t xml:space="preserve">identified </w:t>
      </w:r>
      <w:r w:rsidR="00AA0E3B" w:rsidRPr="00EE4197">
        <w:rPr>
          <w:sz w:val="20"/>
          <w:szCs w:val="20"/>
        </w:rPr>
        <w:t>using</w:t>
      </w:r>
      <w:r w:rsidR="00734914" w:rsidRPr="00EE4197">
        <w:rPr>
          <w:sz w:val="20"/>
          <w:szCs w:val="20"/>
        </w:rPr>
        <w:t xml:space="preserve"> c</w:t>
      </w:r>
      <w:r w:rsidR="00D33BFC" w:rsidRPr="00EE4197">
        <w:rPr>
          <w:sz w:val="20"/>
          <w:szCs w:val="20"/>
        </w:rPr>
        <w:t>urrent public property records</w:t>
      </w:r>
      <w:r w:rsidR="00AA0E3B" w:rsidRPr="00EE4197">
        <w:rPr>
          <w:sz w:val="20"/>
          <w:szCs w:val="20"/>
        </w:rPr>
        <w:t xml:space="preserve"> such as the property appraiser</w:t>
      </w:r>
      <w:r w:rsidR="000347CB" w:rsidRPr="00EE4197">
        <w:rPr>
          <w:sz w:val="20"/>
          <w:szCs w:val="20"/>
        </w:rPr>
        <w:t>’</w:t>
      </w:r>
      <w:r w:rsidR="00AA0E3B" w:rsidRPr="00EE4197">
        <w:rPr>
          <w:sz w:val="20"/>
          <w:szCs w:val="20"/>
        </w:rPr>
        <w:t>s web site</w:t>
      </w:r>
      <w:r w:rsidR="00E94A6F">
        <w:rPr>
          <w:sz w:val="20"/>
          <w:szCs w:val="20"/>
        </w:rPr>
        <w:t>. T</w:t>
      </w:r>
      <w:r w:rsidR="00E94A6F" w:rsidRPr="00EE4197">
        <w:rPr>
          <w:sz w:val="20"/>
          <w:szCs w:val="20"/>
        </w:rPr>
        <w:t xml:space="preserve">he </w:t>
      </w:r>
      <w:r w:rsidR="002C3B51" w:rsidRPr="00EE4197">
        <w:rPr>
          <w:sz w:val="20"/>
          <w:szCs w:val="20"/>
        </w:rPr>
        <w:t>Florida Department of Revenue maintains a link to all county property appraisers</w:t>
      </w:r>
      <w:r w:rsidR="00E94A6F">
        <w:rPr>
          <w:sz w:val="20"/>
          <w:szCs w:val="20"/>
        </w:rPr>
        <w:t>:</w:t>
      </w:r>
      <w:r w:rsidR="002C3B51" w:rsidRPr="00EE4197">
        <w:rPr>
          <w:sz w:val="20"/>
          <w:szCs w:val="20"/>
        </w:rPr>
        <w:t xml:space="preserve"> </w:t>
      </w:r>
      <w:hyperlink r:id="rId10" w:history="1">
        <w:r w:rsidR="00E94A6F" w:rsidRPr="00E94A6F">
          <w:rPr>
            <w:rStyle w:val="Hyperlink"/>
            <w:sz w:val="18"/>
            <w:szCs w:val="18"/>
          </w:rPr>
          <w:t>http://dor.myflorida.com/dor/property/appraisers.html</w:t>
        </w:r>
      </w:hyperlink>
      <w:r w:rsidR="00D33BFC" w:rsidRPr="00EE4197">
        <w:rPr>
          <w:sz w:val="20"/>
          <w:szCs w:val="20"/>
        </w:rPr>
        <w:t>.</w:t>
      </w:r>
      <w:r w:rsidR="00FA749E">
        <w:rPr>
          <w:sz w:val="20"/>
          <w:szCs w:val="20"/>
        </w:rPr>
        <w:t xml:space="preserve"> </w:t>
      </w:r>
      <w:r w:rsidR="009A5D4B" w:rsidRPr="00EE4197">
        <w:rPr>
          <w:sz w:val="20"/>
          <w:szCs w:val="20"/>
        </w:rPr>
        <w:t>The notice letter provides for a 30-day comment period.</w:t>
      </w:r>
      <w:r w:rsidR="00FA749E">
        <w:rPr>
          <w:sz w:val="20"/>
          <w:szCs w:val="20"/>
        </w:rPr>
        <w:t xml:space="preserve"> </w:t>
      </w:r>
      <w:r w:rsidR="00E94A6F">
        <w:rPr>
          <w:sz w:val="20"/>
          <w:szCs w:val="20"/>
        </w:rPr>
        <w:t>FDEP</w:t>
      </w:r>
      <w:r w:rsidR="009A5D4B" w:rsidRPr="00EE4197">
        <w:rPr>
          <w:sz w:val="20"/>
          <w:szCs w:val="20"/>
        </w:rPr>
        <w:t xml:space="preserve"> has developed a template letter for this purpose (see </w:t>
      </w:r>
      <w:r w:rsidR="00E94A6F">
        <w:rPr>
          <w:sz w:val="20"/>
          <w:szCs w:val="20"/>
        </w:rPr>
        <w:t>Attachment 1</w:t>
      </w:r>
      <w:r w:rsidR="009A5D4B" w:rsidRPr="00EE4197">
        <w:rPr>
          <w:sz w:val="20"/>
          <w:szCs w:val="20"/>
        </w:rPr>
        <w:t>)</w:t>
      </w:r>
      <w:r w:rsidR="009026AE" w:rsidRPr="00EE4197">
        <w:rPr>
          <w:rStyle w:val="FootnoteReference"/>
          <w:sz w:val="20"/>
          <w:szCs w:val="20"/>
        </w:rPr>
        <w:footnoteReference w:id="2"/>
      </w:r>
      <w:r w:rsidR="009A5D4B" w:rsidRPr="00EE4197">
        <w:rPr>
          <w:sz w:val="20"/>
          <w:szCs w:val="20"/>
        </w:rPr>
        <w:t>.</w:t>
      </w:r>
      <w:r w:rsidR="00FA749E">
        <w:rPr>
          <w:sz w:val="20"/>
          <w:szCs w:val="20"/>
        </w:rPr>
        <w:t xml:space="preserve"> </w:t>
      </w:r>
    </w:p>
    <w:p w14:paraId="7B4FBCEB" w14:textId="21CA4E44" w:rsidR="00D33BFC" w:rsidRPr="002A5545" w:rsidRDefault="00C942DC" w:rsidP="002A5545">
      <w:pPr>
        <w:spacing w:after="120" w:line="240" w:lineRule="auto"/>
        <w:ind w:left="1080" w:right="-58" w:hanging="360"/>
        <w:rPr>
          <w:sz w:val="20"/>
          <w:szCs w:val="20"/>
        </w:rPr>
      </w:pPr>
      <w:r w:rsidRPr="00EE4197">
        <w:rPr>
          <w:sz w:val="20"/>
          <w:szCs w:val="20"/>
        </w:rPr>
        <w:t>C</w:t>
      </w:r>
      <w:r w:rsidR="007F19F9" w:rsidRPr="00EE4197">
        <w:rPr>
          <w:sz w:val="20"/>
          <w:szCs w:val="20"/>
        </w:rPr>
        <w:t>.</w:t>
      </w:r>
      <w:r w:rsidR="007F19F9" w:rsidRPr="00EE4197">
        <w:rPr>
          <w:sz w:val="20"/>
          <w:szCs w:val="20"/>
        </w:rPr>
        <w:tab/>
      </w:r>
      <w:r w:rsidR="009026AE" w:rsidRPr="00EE4197">
        <w:rPr>
          <w:sz w:val="20"/>
          <w:szCs w:val="20"/>
        </w:rPr>
        <w:t>T</w:t>
      </w:r>
      <w:r w:rsidR="00F721F1" w:rsidRPr="00EE4197">
        <w:rPr>
          <w:sz w:val="20"/>
          <w:szCs w:val="20"/>
        </w:rPr>
        <w:t xml:space="preserve">he </w:t>
      </w:r>
      <w:r w:rsidR="00734914" w:rsidRPr="00EE4197">
        <w:rPr>
          <w:sz w:val="20"/>
          <w:szCs w:val="20"/>
        </w:rPr>
        <w:t>PRSR publish</w:t>
      </w:r>
      <w:r w:rsidR="00A8761E" w:rsidRPr="00EE4197">
        <w:rPr>
          <w:sz w:val="20"/>
          <w:szCs w:val="20"/>
        </w:rPr>
        <w:t>es</w:t>
      </w:r>
      <w:r w:rsidR="006C2CAE" w:rsidRPr="00EE4197">
        <w:rPr>
          <w:sz w:val="20"/>
          <w:szCs w:val="20"/>
        </w:rPr>
        <w:t xml:space="preserve"> </w:t>
      </w:r>
      <w:r w:rsidR="00F721F1" w:rsidRPr="00EE4197">
        <w:rPr>
          <w:sz w:val="20"/>
          <w:szCs w:val="20"/>
        </w:rPr>
        <w:t xml:space="preserve">the </w:t>
      </w:r>
      <w:r w:rsidR="00734914" w:rsidRPr="00EE4197">
        <w:rPr>
          <w:sz w:val="20"/>
          <w:szCs w:val="20"/>
        </w:rPr>
        <w:t xml:space="preserve">TPOC </w:t>
      </w:r>
      <w:r w:rsidR="00F721F1" w:rsidRPr="00EE4197">
        <w:rPr>
          <w:sz w:val="20"/>
          <w:szCs w:val="20"/>
        </w:rPr>
        <w:t xml:space="preserve">constructive </w:t>
      </w:r>
      <w:r w:rsidR="009D7C6F" w:rsidRPr="00EE4197">
        <w:rPr>
          <w:sz w:val="20"/>
          <w:szCs w:val="20"/>
        </w:rPr>
        <w:t>n</w:t>
      </w:r>
      <w:r w:rsidR="00734914" w:rsidRPr="00EE4197">
        <w:rPr>
          <w:sz w:val="20"/>
          <w:szCs w:val="20"/>
        </w:rPr>
        <w:t>otice in</w:t>
      </w:r>
      <w:r w:rsidR="006C2CAE" w:rsidRPr="00EE4197">
        <w:rPr>
          <w:sz w:val="20"/>
          <w:szCs w:val="20"/>
        </w:rPr>
        <w:t xml:space="preserve"> a local</w:t>
      </w:r>
      <w:r w:rsidR="00A8761E" w:rsidRPr="00EE4197">
        <w:rPr>
          <w:sz w:val="20"/>
          <w:szCs w:val="20"/>
        </w:rPr>
        <w:t xml:space="preserve"> newspaper</w:t>
      </w:r>
      <w:r w:rsidR="00E94A6F" w:rsidRPr="00E94A6F">
        <w:rPr>
          <w:sz w:val="20"/>
          <w:szCs w:val="20"/>
          <w:vertAlign w:val="superscript"/>
        </w:rPr>
        <w:t>1</w:t>
      </w:r>
      <w:r w:rsidR="00E94A6F">
        <w:rPr>
          <w:sz w:val="20"/>
          <w:szCs w:val="20"/>
        </w:rPr>
        <w:t>.</w:t>
      </w:r>
      <w:r w:rsidR="00FA749E">
        <w:rPr>
          <w:sz w:val="20"/>
          <w:szCs w:val="20"/>
        </w:rPr>
        <w:t xml:space="preserve"> </w:t>
      </w:r>
      <w:r w:rsidR="00E94A6F">
        <w:rPr>
          <w:sz w:val="20"/>
          <w:szCs w:val="20"/>
        </w:rPr>
        <w:t>FDEP</w:t>
      </w:r>
      <w:r w:rsidR="006C2CAE" w:rsidRPr="00EE4197">
        <w:rPr>
          <w:sz w:val="20"/>
          <w:szCs w:val="20"/>
        </w:rPr>
        <w:t xml:space="preserve"> </w:t>
      </w:r>
      <w:r w:rsidR="00B342C3" w:rsidRPr="00EE4197">
        <w:rPr>
          <w:sz w:val="20"/>
          <w:szCs w:val="20"/>
        </w:rPr>
        <w:t>has developed</w:t>
      </w:r>
      <w:r w:rsidR="00734914" w:rsidRPr="00EE4197">
        <w:rPr>
          <w:sz w:val="20"/>
          <w:szCs w:val="20"/>
        </w:rPr>
        <w:t xml:space="preserve"> </w:t>
      </w:r>
      <w:r w:rsidR="006C2CAE" w:rsidRPr="00EE4197">
        <w:rPr>
          <w:sz w:val="20"/>
          <w:szCs w:val="20"/>
        </w:rPr>
        <w:t xml:space="preserve">a template for </w:t>
      </w:r>
      <w:r w:rsidR="00A84BE7" w:rsidRPr="00EE4197">
        <w:rPr>
          <w:sz w:val="20"/>
          <w:szCs w:val="20"/>
        </w:rPr>
        <w:t>the</w:t>
      </w:r>
      <w:r w:rsidR="006C2CAE" w:rsidRPr="00EE4197">
        <w:rPr>
          <w:sz w:val="20"/>
          <w:szCs w:val="20"/>
        </w:rPr>
        <w:t xml:space="preserve"> </w:t>
      </w:r>
      <w:r w:rsidR="00AA0E3B" w:rsidRPr="00EE4197">
        <w:rPr>
          <w:sz w:val="20"/>
          <w:szCs w:val="20"/>
        </w:rPr>
        <w:t xml:space="preserve">published </w:t>
      </w:r>
      <w:r w:rsidR="00A8761E" w:rsidRPr="00EE4197">
        <w:rPr>
          <w:sz w:val="20"/>
          <w:szCs w:val="20"/>
        </w:rPr>
        <w:t>n</w:t>
      </w:r>
      <w:r w:rsidR="006C2CAE" w:rsidRPr="00EE4197">
        <w:rPr>
          <w:sz w:val="20"/>
          <w:szCs w:val="20"/>
        </w:rPr>
        <w:t>otice (s</w:t>
      </w:r>
      <w:r w:rsidR="00734914" w:rsidRPr="00EE4197">
        <w:rPr>
          <w:sz w:val="20"/>
          <w:szCs w:val="20"/>
        </w:rPr>
        <w:t xml:space="preserve">ee </w:t>
      </w:r>
      <w:r w:rsidR="00E94A6F">
        <w:rPr>
          <w:sz w:val="20"/>
          <w:szCs w:val="20"/>
        </w:rPr>
        <w:t>Attachment 2</w:t>
      </w:r>
      <w:r w:rsidR="006C2CAE" w:rsidRPr="00EE4197">
        <w:rPr>
          <w:sz w:val="20"/>
          <w:szCs w:val="20"/>
        </w:rPr>
        <w:t>)</w:t>
      </w:r>
      <w:r w:rsidR="00734914" w:rsidRPr="00EE4197">
        <w:rPr>
          <w:sz w:val="20"/>
          <w:szCs w:val="20"/>
        </w:rPr>
        <w:t>.</w:t>
      </w:r>
      <w:r w:rsidR="00FA749E">
        <w:rPr>
          <w:sz w:val="20"/>
          <w:szCs w:val="20"/>
        </w:rPr>
        <w:t xml:space="preserve"> </w:t>
      </w:r>
    </w:p>
    <w:p w14:paraId="3C653CEC" w14:textId="23A58AC2" w:rsidR="00E94A6F" w:rsidRPr="00EE4197" w:rsidRDefault="00C942DC" w:rsidP="002A5545">
      <w:pPr>
        <w:spacing w:after="120" w:line="240" w:lineRule="auto"/>
        <w:ind w:left="1080" w:right="-151" w:hanging="360"/>
        <w:rPr>
          <w:sz w:val="20"/>
          <w:szCs w:val="20"/>
        </w:rPr>
      </w:pPr>
      <w:r w:rsidRPr="00EE4197">
        <w:rPr>
          <w:sz w:val="20"/>
          <w:szCs w:val="20"/>
        </w:rPr>
        <w:t>D</w:t>
      </w:r>
      <w:r w:rsidR="007F19F9" w:rsidRPr="00EE4197">
        <w:rPr>
          <w:sz w:val="20"/>
          <w:szCs w:val="20"/>
        </w:rPr>
        <w:t>.</w:t>
      </w:r>
      <w:r w:rsidR="007F19F9" w:rsidRPr="00EE4197">
        <w:rPr>
          <w:sz w:val="20"/>
          <w:szCs w:val="20"/>
        </w:rPr>
        <w:tab/>
      </w:r>
      <w:r w:rsidR="00E94A6F">
        <w:rPr>
          <w:sz w:val="20"/>
          <w:szCs w:val="20"/>
        </w:rPr>
        <w:t>Per Section III.3, t</w:t>
      </w:r>
      <w:r w:rsidR="00D33BFC" w:rsidRPr="00EE4197">
        <w:rPr>
          <w:sz w:val="20"/>
          <w:szCs w:val="20"/>
        </w:rPr>
        <w:t xml:space="preserve">he PRSR </w:t>
      </w:r>
      <w:r w:rsidR="00A539E6" w:rsidRPr="00EE4197">
        <w:rPr>
          <w:sz w:val="20"/>
          <w:szCs w:val="20"/>
        </w:rPr>
        <w:t>provide</w:t>
      </w:r>
      <w:r w:rsidR="00D33BFC" w:rsidRPr="00EE4197">
        <w:rPr>
          <w:sz w:val="20"/>
          <w:szCs w:val="20"/>
        </w:rPr>
        <w:t>s proof of notice</w:t>
      </w:r>
      <w:r w:rsidR="00A539E6" w:rsidRPr="00EE4197">
        <w:rPr>
          <w:sz w:val="20"/>
          <w:szCs w:val="20"/>
        </w:rPr>
        <w:t xml:space="preserve"> to </w:t>
      </w:r>
      <w:r w:rsidR="00E94A6F">
        <w:rPr>
          <w:sz w:val="20"/>
          <w:szCs w:val="20"/>
        </w:rPr>
        <w:t>FDEP</w:t>
      </w:r>
      <w:r w:rsidR="00D33BFC" w:rsidRPr="00EE4197">
        <w:rPr>
          <w:sz w:val="20"/>
          <w:szCs w:val="20"/>
        </w:rPr>
        <w:t>.</w:t>
      </w:r>
      <w:r w:rsidR="00FA749E">
        <w:rPr>
          <w:sz w:val="20"/>
          <w:szCs w:val="20"/>
        </w:rPr>
        <w:t xml:space="preserve"> </w:t>
      </w:r>
    </w:p>
    <w:p w14:paraId="630737CD" w14:textId="05A933A8" w:rsidR="00A8761E" w:rsidRPr="002A5545" w:rsidRDefault="00C942DC" w:rsidP="002A5545">
      <w:pPr>
        <w:spacing w:after="120" w:line="240" w:lineRule="auto"/>
        <w:ind w:left="1080" w:right="-58" w:hanging="360"/>
        <w:rPr>
          <w:sz w:val="20"/>
          <w:szCs w:val="20"/>
        </w:rPr>
      </w:pPr>
      <w:r w:rsidRPr="00EE4197">
        <w:rPr>
          <w:sz w:val="20"/>
          <w:szCs w:val="20"/>
        </w:rPr>
        <w:t>E</w:t>
      </w:r>
      <w:r w:rsidR="007F19F9" w:rsidRPr="00EE4197">
        <w:rPr>
          <w:sz w:val="20"/>
          <w:szCs w:val="20"/>
        </w:rPr>
        <w:t>.</w:t>
      </w:r>
      <w:r w:rsidR="007F19F9" w:rsidRPr="00EE4197">
        <w:rPr>
          <w:sz w:val="20"/>
          <w:szCs w:val="20"/>
        </w:rPr>
        <w:tab/>
      </w:r>
      <w:r w:rsidR="009026AE" w:rsidRPr="00EE4197">
        <w:rPr>
          <w:sz w:val="20"/>
          <w:szCs w:val="20"/>
        </w:rPr>
        <w:t xml:space="preserve">Comments will be submitted to </w:t>
      </w:r>
      <w:r w:rsidR="00E94A6F">
        <w:rPr>
          <w:sz w:val="20"/>
          <w:szCs w:val="20"/>
        </w:rPr>
        <w:t>F</w:t>
      </w:r>
      <w:r w:rsidR="009026AE" w:rsidRPr="00EE4197">
        <w:rPr>
          <w:sz w:val="20"/>
          <w:szCs w:val="20"/>
        </w:rPr>
        <w:t xml:space="preserve">DEP, </w:t>
      </w:r>
      <w:r w:rsidR="00C810E8" w:rsidRPr="00EE4197">
        <w:rPr>
          <w:sz w:val="20"/>
          <w:szCs w:val="20"/>
        </w:rPr>
        <w:t>reviewed,</w:t>
      </w:r>
      <w:r w:rsidR="009026AE" w:rsidRPr="00EE4197">
        <w:rPr>
          <w:sz w:val="20"/>
          <w:szCs w:val="20"/>
        </w:rPr>
        <w:t xml:space="preserve"> and retained in the site file.</w:t>
      </w:r>
      <w:r w:rsidR="00FA749E">
        <w:rPr>
          <w:sz w:val="20"/>
          <w:szCs w:val="20"/>
        </w:rPr>
        <w:t xml:space="preserve"> </w:t>
      </w:r>
    </w:p>
    <w:p w14:paraId="26F4ABCF" w14:textId="77777777" w:rsidR="00A84BE7" w:rsidRPr="00EE4197" w:rsidRDefault="00C942DC" w:rsidP="002A5545">
      <w:pPr>
        <w:spacing w:after="120" w:line="240" w:lineRule="auto"/>
        <w:ind w:left="1080" w:right="-58" w:hanging="360"/>
        <w:rPr>
          <w:sz w:val="20"/>
          <w:szCs w:val="20"/>
        </w:rPr>
      </w:pPr>
      <w:r w:rsidRPr="00EE4197">
        <w:rPr>
          <w:sz w:val="20"/>
          <w:szCs w:val="20"/>
        </w:rPr>
        <w:t>F</w:t>
      </w:r>
      <w:r w:rsidR="007F19F9" w:rsidRPr="00EE4197">
        <w:rPr>
          <w:sz w:val="20"/>
          <w:szCs w:val="20"/>
        </w:rPr>
        <w:t>.</w:t>
      </w:r>
      <w:r w:rsidR="007F19F9" w:rsidRPr="00EE4197">
        <w:rPr>
          <w:sz w:val="20"/>
          <w:szCs w:val="20"/>
        </w:rPr>
        <w:tab/>
      </w:r>
      <w:r w:rsidR="00D27F13" w:rsidRPr="00EE4197">
        <w:rPr>
          <w:sz w:val="20"/>
          <w:szCs w:val="20"/>
        </w:rPr>
        <w:t>The 30-</w:t>
      </w:r>
      <w:r w:rsidR="00734914" w:rsidRPr="00EE4197">
        <w:rPr>
          <w:sz w:val="20"/>
          <w:szCs w:val="20"/>
        </w:rPr>
        <w:t>day comment period will end</w:t>
      </w:r>
      <w:r w:rsidR="0031569B" w:rsidRPr="00EE4197">
        <w:rPr>
          <w:sz w:val="20"/>
          <w:szCs w:val="20"/>
        </w:rPr>
        <w:t xml:space="preserve"> at the </w:t>
      </w:r>
      <w:r w:rsidR="0031569B" w:rsidRPr="00EE4197">
        <w:rPr>
          <w:sz w:val="20"/>
          <w:szCs w:val="20"/>
          <w:u w:val="single"/>
        </w:rPr>
        <w:t>latest</w:t>
      </w:r>
      <w:r w:rsidR="0031569B" w:rsidRPr="00EE4197">
        <w:rPr>
          <w:sz w:val="20"/>
          <w:szCs w:val="20"/>
        </w:rPr>
        <w:t xml:space="preserve"> of</w:t>
      </w:r>
      <w:r w:rsidR="00A84BE7" w:rsidRPr="00EE4197">
        <w:rPr>
          <w:sz w:val="20"/>
          <w:szCs w:val="20"/>
        </w:rPr>
        <w:t>:</w:t>
      </w:r>
    </w:p>
    <w:p w14:paraId="419FAD1B" w14:textId="2DCD2151" w:rsidR="00E94A6F" w:rsidRDefault="007F19F9" w:rsidP="00C93CA0">
      <w:pPr>
        <w:spacing w:after="60" w:line="240" w:lineRule="auto"/>
        <w:ind w:left="1080" w:right="-58"/>
        <w:rPr>
          <w:sz w:val="20"/>
          <w:szCs w:val="20"/>
        </w:rPr>
      </w:pPr>
      <w:r w:rsidRPr="00EE4197">
        <w:rPr>
          <w:sz w:val="20"/>
          <w:szCs w:val="20"/>
        </w:rPr>
        <w:t>•</w:t>
      </w:r>
      <w:r w:rsidR="00AE2738" w:rsidRPr="00EE4197">
        <w:rPr>
          <w:sz w:val="20"/>
          <w:szCs w:val="20"/>
        </w:rPr>
        <w:tab/>
      </w:r>
      <w:r w:rsidR="00734914" w:rsidRPr="00EE4197">
        <w:rPr>
          <w:sz w:val="20"/>
          <w:szCs w:val="20"/>
        </w:rPr>
        <w:t xml:space="preserve">30 days after the </w:t>
      </w:r>
      <w:r w:rsidR="0031569B" w:rsidRPr="00EE4197">
        <w:rPr>
          <w:sz w:val="20"/>
          <w:szCs w:val="20"/>
        </w:rPr>
        <w:t>last</w:t>
      </w:r>
      <w:r w:rsidR="00DE1A61">
        <w:rPr>
          <w:sz w:val="20"/>
          <w:szCs w:val="20"/>
        </w:rPr>
        <w:t xml:space="preserve"> mail delivery confirmation card (“</w:t>
      </w:r>
      <w:r w:rsidR="00734914" w:rsidRPr="00EE4197">
        <w:rPr>
          <w:sz w:val="20"/>
          <w:szCs w:val="20"/>
        </w:rPr>
        <w:t>green card</w:t>
      </w:r>
      <w:r w:rsidR="00DE1A61">
        <w:rPr>
          <w:sz w:val="20"/>
          <w:szCs w:val="20"/>
        </w:rPr>
        <w:t>”</w:t>
      </w:r>
      <w:r w:rsidR="003F30E6">
        <w:rPr>
          <w:sz w:val="20"/>
          <w:szCs w:val="20"/>
        </w:rPr>
        <w:t xml:space="preserve"> if sent by certified mail</w:t>
      </w:r>
      <w:r w:rsidR="00DE1A61">
        <w:rPr>
          <w:sz w:val="20"/>
          <w:szCs w:val="20"/>
        </w:rPr>
        <w:t>)</w:t>
      </w:r>
      <w:r w:rsidR="00734914" w:rsidRPr="00EE4197">
        <w:rPr>
          <w:sz w:val="20"/>
          <w:szCs w:val="20"/>
        </w:rPr>
        <w:t xml:space="preserve"> is signed</w:t>
      </w:r>
      <w:r w:rsidR="00E94A6F">
        <w:rPr>
          <w:sz w:val="20"/>
          <w:szCs w:val="20"/>
        </w:rPr>
        <w:t>;</w:t>
      </w:r>
    </w:p>
    <w:p w14:paraId="48CDEA30" w14:textId="338D65E8" w:rsidR="00A84BE7" w:rsidRPr="00E94A6F" w:rsidRDefault="00734914" w:rsidP="00C93CA0">
      <w:pPr>
        <w:pStyle w:val="ListParagraph"/>
        <w:numPr>
          <w:ilvl w:val="0"/>
          <w:numId w:val="9"/>
        </w:numPr>
        <w:spacing w:after="60" w:line="240" w:lineRule="atLeast"/>
        <w:ind w:right="-58"/>
        <w:rPr>
          <w:sz w:val="20"/>
          <w:szCs w:val="20"/>
        </w:rPr>
      </w:pPr>
      <w:r w:rsidRPr="00E94A6F">
        <w:rPr>
          <w:sz w:val="20"/>
          <w:szCs w:val="20"/>
        </w:rPr>
        <w:t xml:space="preserve">30 days after the </w:t>
      </w:r>
      <w:r w:rsidR="0031569B" w:rsidRPr="00E94A6F">
        <w:rPr>
          <w:sz w:val="20"/>
          <w:szCs w:val="20"/>
        </w:rPr>
        <w:t xml:space="preserve">last </w:t>
      </w:r>
      <w:r w:rsidRPr="00E94A6F">
        <w:rPr>
          <w:sz w:val="20"/>
          <w:szCs w:val="20"/>
        </w:rPr>
        <w:t xml:space="preserve">green card </w:t>
      </w:r>
      <w:r w:rsidR="003F30E6">
        <w:rPr>
          <w:sz w:val="20"/>
          <w:szCs w:val="20"/>
        </w:rPr>
        <w:t xml:space="preserve">or other confirmation </w:t>
      </w:r>
      <w:r w:rsidRPr="00E94A6F">
        <w:rPr>
          <w:sz w:val="20"/>
          <w:szCs w:val="20"/>
        </w:rPr>
        <w:t>is returned as undeliverable</w:t>
      </w:r>
      <w:r w:rsidR="00A84BE7" w:rsidRPr="00E94A6F">
        <w:rPr>
          <w:sz w:val="20"/>
          <w:szCs w:val="20"/>
        </w:rPr>
        <w:t xml:space="preserve">, </w:t>
      </w:r>
      <w:r w:rsidR="00C810E8" w:rsidRPr="00E94A6F">
        <w:rPr>
          <w:sz w:val="20"/>
          <w:szCs w:val="20"/>
        </w:rPr>
        <w:t>unclaimed,</w:t>
      </w:r>
      <w:r w:rsidR="00A84BE7" w:rsidRPr="00E94A6F">
        <w:rPr>
          <w:sz w:val="20"/>
          <w:szCs w:val="20"/>
        </w:rPr>
        <w:t xml:space="preserve"> or refused</w:t>
      </w:r>
      <w:r w:rsidR="00E94A6F">
        <w:rPr>
          <w:sz w:val="20"/>
          <w:szCs w:val="20"/>
        </w:rPr>
        <w:t>;</w:t>
      </w:r>
      <w:r w:rsidR="005B5107" w:rsidRPr="00E94A6F">
        <w:rPr>
          <w:sz w:val="20"/>
          <w:szCs w:val="20"/>
        </w:rPr>
        <w:t xml:space="preserve"> </w:t>
      </w:r>
      <w:r w:rsidR="00A84BE7" w:rsidRPr="00E94A6F">
        <w:rPr>
          <w:sz w:val="20"/>
          <w:szCs w:val="20"/>
        </w:rPr>
        <w:t>or</w:t>
      </w:r>
      <w:r w:rsidR="00E94A6F">
        <w:rPr>
          <w:sz w:val="20"/>
          <w:szCs w:val="20"/>
        </w:rPr>
        <w:t>,</w:t>
      </w:r>
    </w:p>
    <w:p w14:paraId="518760AC" w14:textId="210870BA" w:rsidR="00E4395C" w:rsidRDefault="007F19F9" w:rsidP="00C93CA0">
      <w:pPr>
        <w:spacing w:after="0" w:line="240" w:lineRule="atLeast"/>
        <w:ind w:right="-58"/>
        <w:rPr>
          <w:sz w:val="20"/>
          <w:szCs w:val="20"/>
        </w:rPr>
      </w:pPr>
      <w:r w:rsidRPr="00EE4197">
        <w:rPr>
          <w:sz w:val="20"/>
          <w:szCs w:val="20"/>
        </w:rPr>
        <w:lastRenderedPageBreak/>
        <w:t>•</w:t>
      </w:r>
      <w:r w:rsidR="00AE2738" w:rsidRPr="00EE4197">
        <w:rPr>
          <w:sz w:val="20"/>
          <w:szCs w:val="20"/>
        </w:rPr>
        <w:tab/>
      </w:r>
      <w:r w:rsidR="00734914" w:rsidRPr="00EE4197">
        <w:rPr>
          <w:sz w:val="20"/>
          <w:szCs w:val="20"/>
        </w:rPr>
        <w:t xml:space="preserve">30 days after </w:t>
      </w:r>
      <w:r w:rsidR="00EB0318" w:rsidRPr="00EE4197">
        <w:rPr>
          <w:sz w:val="20"/>
          <w:szCs w:val="20"/>
        </w:rPr>
        <w:t>the date of publication of the n</w:t>
      </w:r>
      <w:r w:rsidR="00734914" w:rsidRPr="00EE4197">
        <w:rPr>
          <w:sz w:val="20"/>
          <w:szCs w:val="20"/>
        </w:rPr>
        <w:t>otice</w:t>
      </w:r>
      <w:r w:rsidR="00D27F13" w:rsidRPr="00EE4197">
        <w:rPr>
          <w:sz w:val="20"/>
          <w:szCs w:val="20"/>
        </w:rPr>
        <w:t>.</w:t>
      </w:r>
    </w:p>
    <w:p w14:paraId="51947B74" w14:textId="08267F2C" w:rsidR="000A3F42" w:rsidRPr="00EE4197" w:rsidRDefault="00C942DC" w:rsidP="00E94A6F">
      <w:pPr>
        <w:spacing w:after="120" w:line="240" w:lineRule="atLeast"/>
        <w:ind w:left="720" w:right="-58" w:hanging="360"/>
        <w:rPr>
          <w:sz w:val="20"/>
          <w:szCs w:val="20"/>
        </w:rPr>
      </w:pPr>
      <w:r w:rsidRPr="00EE4197">
        <w:rPr>
          <w:sz w:val="20"/>
          <w:szCs w:val="20"/>
        </w:rPr>
        <w:t>2</w:t>
      </w:r>
      <w:r w:rsidR="007F19F9" w:rsidRPr="00EE4197">
        <w:rPr>
          <w:sz w:val="20"/>
          <w:szCs w:val="20"/>
        </w:rPr>
        <w:t>.</w:t>
      </w:r>
      <w:r w:rsidR="007F19F9" w:rsidRPr="00EE4197">
        <w:rPr>
          <w:sz w:val="20"/>
          <w:szCs w:val="20"/>
        </w:rPr>
        <w:tab/>
      </w:r>
      <w:r w:rsidR="00A539E6" w:rsidRPr="00EE4197">
        <w:rPr>
          <w:sz w:val="20"/>
          <w:szCs w:val="20"/>
        </w:rPr>
        <w:t xml:space="preserve">After the 30-day </w:t>
      </w:r>
      <w:r w:rsidR="0036160B" w:rsidRPr="00EE4197">
        <w:rPr>
          <w:sz w:val="20"/>
          <w:szCs w:val="20"/>
        </w:rPr>
        <w:t xml:space="preserve">comment </w:t>
      </w:r>
      <w:r w:rsidR="00A539E6" w:rsidRPr="00EE4197">
        <w:rPr>
          <w:sz w:val="20"/>
          <w:szCs w:val="20"/>
        </w:rPr>
        <w:t>period is completed</w:t>
      </w:r>
      <w:r w:rsidR="007F19F9" w:rsidRPr="00EE4197">
        <w:rPr>
          <w:sz w:val="20"/>
          <w:szCs w:val="20"/>
        </w:rPr>
        <w:t xml:space="preserve">, </w:t>
      </w:r>
      <w:r w:rsidR="00E94A6F">
        <w:rPr>
          <w:sz w:val="20"/>
          <w:szCs w:val="20"/>
        </w:rPr>
        <w:t>FDEP</w:t>
      </w:r>
      <w:r w:rsidR="007F19F9" w:rsidRPr="00EE4197">
        <w:rPr>
          <w:sz w:val="20"/>
          <w:szCs w:val="20"/>
        </w:rPr>
        <w:t xml:space="preserve"> </w:t>
      </w:r>
      <w:r w:rsidR="0031569B" w:rsidRPr="00EE4197">
        <w:rPr>
          <w:sz w:val="20"/>
          <w:szCs w:val="20"/>
        </w:rPr>
        <w:t xml:space="preserve">and </w:t>
      </w:r>
      <w:r w:rsidR="00E94A6F">
        <w:rPr>
          <w:sz w:val="20"/>
          <w:szCs w:val="20"/>
        </w:rPr>
        <w:t xml:space="preserve">the </w:t>
      </w:r>
      <w:r w:rsidR="0031569B" w:rsidRPr="00EE4197">
        <w:rPr>
          <w:sz w:val="20"/>
          <w:szCs w:val="20"/>
        </w:rPr>
        <w:t>PRSR should make any appropriate changes based upon the comments.</w:t>
      </w:r>
      <w:r w:rsidR="00FA749E">
        <w:rPr>
          <w:sz w:val="20"/>
          <w:szCs w:val="20"/>
        </w:rPr>
        <w:t xml:space="preserve"> </w:t>
      </w:r>
    </w:p>
    <w:p w14:paraId="4850EA3B" w14:textId="47E962D9" w:rsidR="001F25E3" w:rsidRPr="00EE4197" w:rsidRDefault="004D2147" w:rsidP="00C93CA0">
      <w:pPr>
        <w:pStyle w:val="ListParagraph"/>
        <w:numPr>
          <w:ilvl w:val="0"/>
          <w:numId w:val="6"/>
        </w:numPr>
        <w:spacing w:after="60" w:line="240" w:lineRule="atLeast"/>
        <w:ind w:right="-58"/>
        <w:rPr>
          <w:rFonts w:asciiTheme="minorHAnsi" w:hAnsiTheme="minorHAnsi"/>
          <w:sz w:val="20"/>
          <w:szCs w:val="20"/>
        </w:rPr>
      </w:pPr>
      <w:r w:rsidRPr="00EE4197">
        <w:rPr>
          <w:rFonts w:asciiTheme="minorHAnsi" w:hAnsiTheme="minorHAnsi"/>
          <w:sz w:val="20"/>
          <w:szCs w:val="20"/>
        </w:rPr>
        <w:t xml:space="preserve">If changes are made to the TPOC </w:t>
      </w:r>
      <w:proofErr w:type="gramStart"/>
      <w:r w:rsidRPr="00EE4197">
        <w:rPr>
          <w:rFonts w:asciiTheme="minorHAnsi" w:hAnsiTheme="minorHAnsi"/>
          <w:sz w:val="20"/>
          <w:szCs w:val="20"/>
        </w:rPr>
        <w:t>as a result of</w:t>
      </w:r>
      <w:proofErr w:type="gramEnd"/>
      <w:r w:rsidRPr="00EE4197">
        <w:rPr>
          <w:rFonts w:asciiTheme="minorHAnsi" w:hAnsiTheme="minorHAnsi"/>
          <w:sz w:val="20"/>
          <w:szCs w:val="20"/>
        </w:rPr>
        <w:t xml:space="preserve"> public comment, the PRSR must provide additional TPOC notice for all new properties included within the revised TPOC.</w:t>
      </w:r>
      <w:r w:rsidR="00FA749E">
        <w:rPr>
          <w:rFonts w:asciiTheme="minorHAnsi" w:hAnsiTheme="minorHAnsi"/>
          <w:sz w:val="20"/>
          <w:szCs w:val="20"/>
        </w:rPr>
        <w:t xml:space="preserve"> </w:t>
      </w:r>
    </w:p>
    <w:p w14:paraId="445D380B" w14:textId="3016047A" w:rsidR="00F617D3" w:rsidRPr="002A5545" w:rsidRDefault="004D2147" w:rsidP="003F30E6">
      <w:pPr>
        <w:pStyle w:val="ListParagraph"/>
        <w:spacing w:after="120" w:line="240" w:lineRule="atLeast"/>
        <w:ind w:left="1080" w:right="-58"/>
        <w:rPr>
          <w:sz w:val="20"/>
          <w:szCs w:val="20"/>
        </w:rPr>
      </w:pPr>
      <w:r w:rsidRPr="00EE4197">
        <w:rPr>
          <w:rFonts w:asciiTheme="minorHAnsi" w:hAnsiTheme="minorHAnsi"/>
          <w:sz w:val="20"/>
          <w:szCs w:val="20"/>
        </w:rPr>
        <w:t>If a different remedy (e.g., active cleanup vs. natural attenuation monitoring</w:t>
      </w:r>
      <w:r w:rsidR="00E94A6F">
        <w:rPr>
          <w:rFonts w:asciiTheme="minorHAnsi" w:hAnsiTheme="minorHAnsi"/>
          <w:sz w:val="20"/>
          <w:szCs w:val="20"/>
        </w:rPr>
        <w:t>,</w:t>
      </w:r>
      <w:r w:rsidRPr="00EE4197">
        <w:rPr>
          <w:rFonts w:asciiTheme="minorHAnsi" w:hAnsiTheme="minorHAnsi"/>
          <w:sz w:val="20"/>
          <w:szCs w:val="20"/>
        </w:rPr>
        <w:t xml:space="preserve"> or air sparging vs. pump and treat) is selected, the PRSR must issue a new TPOC notice to all parties within the TPOC boundary.</w:t>
      </w:r>
    </w:p>
    <w:p w14:paraId="473BC87A" w14:textId="0DD3A9FA" w:rsidR="00CA1BB3" w:rsidRPr="00EE4197" w:rsidRDefault="00F617D3" w:rsidP="002A5545">
      <w:pPr>
        <w:pStyle w:val="ListParagraph"/>
        <w:spacing w:after="120" w:line="240" w:lineRule="atLeast"/>
        <w:ind w:right="-58" w:hanging="360"/>
        <w:rPr>
          <w:rFonts w:asciiTheme="minorHAnsi" w:hAnsiTheme="minorHAnsi"/>
          <w:sz w:val="20"/>
          <w:szCs w:val="20"/>
        </w:rPr>
      </w:pPr>
      <w:r w:rsidRPr="00EE4197">
        <w:rPr>
          <w:rFonts w:asciiTheme="minorHAnsi" w:hAnsiTheme="minorHAnsi"/>
          <w:sz w:val="20"/>
          <w:szCs w:val="20"/>
        </w:rPr>
        <w:t>3.</w:t>
      </w:r>
      <w:r w:rsidR="00FA749E">
        <w:rPr>
          <w:rFonts w:asciiTheme="minorHAnsi" w:hAnsiTheme="minorHAnsi"/>
          <w:sz w:val="20"/>
          <w:szCs w:val="20"/>
        </w:rPr>
        <w:t xml:space="preserve"> </w:t>
      </w:r>
      <w:r w:rsidR="00020870" w:rsidRPr="00EE4197">
        <w:rPr>
          <w:rFonts w:asciiTheme="minorHAnsi" w:hAnsiTheme="minorHAnsi"/>
          <w:sz w:val="20"/>
          <w:szCs w:val="20"/>
        </w:rPr>
        <w:t xml:space="preserve"> </w:t>
      </w:r>
      <w:r w:rsidR="00E94A6F">
        <w:rPr>
          <w:rFonts w:asciiTheme="minorHAnsi" w:hAnsiTheme="minorHAnsi"/>
          <w:sz w:val="20"/>
          <w:szCs w:val="20"/>
        </w:rPr>
        <w:tab/>
      </w:r>
      <w:r w:rsidR="0031569B" w:rsidRPr="00EE4197">
        <w:rPr>
          <w:rFonts w:asciiTheme="minorHAnsi" w:hAnsiTheme="minorHAnsi"/>
          <w:sz w:val="20"/>
          <w:szCs w:val="20"/>
        </w:rPr>
        <w:t xml:space="preserve">Once any comments are addressed, </w:t>
      </w:r>
      <w:r w:rsidR="00E94A6F">
        <w:rPr>
          <w:rFonts w:asciiTheme="minorHAnsi" w:hAnsiTheme="minorHAnsi"/>
          <w:sz w:val="20"/>
          <w:szCs w:val="20"/>
        </w:rPr>
        <w:t>FDEP</w:t>
      </w:r>
      <w:r w:rsidR="0031569B" w:rsidRPr="00EE4197">
        <w:rPr>
          <w:rFonts w:asciiTheme="minorHAnsi" w:hAnsiTheme="minorHAnsi"/>
          <w:sz w:val="20"/>
          <w:szCs w:val="20"/>
        </w:rPr>
        <w:t xml:space="preserve"> </w:t>
      </w:r>
      <w:r w:rsidR="007F19F9" w:rsidRPr="00EE4197">
        <w:rPr>
          <w:rFonts w:asciiTheme="minorHAnsi" w:hAnsiTheme="minorHAnsi"/>
          <w:sz w:val="20"/>
          <w:szCs w:val="20"/>
        </w:rPr>
        <w:t xml:space="preserve">issues the </w:t>
      </w:r>
      <w:r w:rsidR="00734914" w:rsidRPr="00EE4197">
        <w:rPr>
          <w:rFonts w:asciiTheme="minorHAnsi" w:hAnsiTheme="minorHAnsi"/>
          <w:sz w:val="20"/>
          <w:szCs w:val="20"/>
        </w:rPr>
        <w:t>RAPAO</w:t>
      </w:r>
      <w:r w:rsidR="00462A35" w:rsidRPr="00EE4197">
        <w:rPr>
          <w:rFonts w:asciiTheme="minorHAnsi" w:hAnsiTheme="minorHAnsi"/>
          <w:sz w:val="20"/>
          <w:szCs w:val="20"/>
        </w:rPr>
        <w:t xml:space="preserve"> </w:t>
      </w:r>
      <w:r w:rsidR="00D669AF" w:rsidRPr="00EE4197">
        <w:rPr>
          <w:rFonts w:asciiTheme="minorHAnsi" w:hAnsiTheme="minorHAnsi"/>
          <w:sz w:val="20"/>
          <w:szCs w:val="20"/>
        </w:rPr>
        <w:t>or NAMPAO</w:t>
      </w:r>
      <w:r w:rsidR="00734914" w:rsidRPr="00EE4197">
        <w:rPr>
          <w:rFonts w:asciiTheme="minorHAnsi" w:hAnsiTheme="minorHAnsi"/>
          <w:sz w:val="20"/>
          <w:szCs w:val="20"/>
        </w:rPr>
        <w:t xml:space="preserve"> </w:t>
      </w:r>
      <w:r w:rsidR="00A539E6" w:rsidRPr="00EE4197">
        <w:rPr>
          <w:rFonts w:asciiTheme="minorHAnsi" w:hAnsiTheme="minorHAnsi"/>
          <w:sz w:val="20"/>
          <w:szCs w:val="20"/>
        </w:rPr>
        <w:t>to the PRSR</w:t>
      </w:r>
      <w:r w:rsidR="00734914" w:rsidRPr="00EE4197">
        <w:rPr>
          <w:rFonts w:asciiTheme="minorHAnsi" w:hAnsiTheme="minorHAnsi"/>
          <w:sz w:val="20"/>
          <w:szCs w:val="20"/>
        </w:rPr>
        <w:t>.</w:t>
      </w:r>
      <w:r w:rsidR="00FA749E">
        <w:rPr>
          <w:rFonts w:asciiTheme="minorHAnsi" w:hAnsiTheme="minorHAnsi"/>
          <w:sz w:val="20"/>
          <w:szCs w:val="20"/>
        </w:rPr>
        <w:t xml:space="preserve"> </w:t>
      </w:r>
      <w:r w:rsidR="00CA1BB3" w:rsidRPr="00EE4197">
        <w:rPr>
          <w:rFonts w:asciiTheme="minorHAnsi" w:hAnsiTheme="minorHAnsi"/>
          <w:sz w:val="20"/>
          <w:szCs w:val="20"/>
        </w:rPr>
        <w:t>The RAPAO or NAMPAO should state that the TPOC does not authorize further migration of the plume to areas not already contaminated.</w:t>
      </w:r>
      <w:r w:rsidR="00FA749E">
        <w:rPr>
          <w:rFonts w:asciiTheme="minorHAnsi" w:hAnsiTheme="minorHAnsi"/>
          <w:sz w:val="20"/>
          <w:szCs w:val="20"/>
        </w:rPr>
        <w:t xml:space="preserve"> </w:t>
      </w:r>
    </w:p>
    <w:p w14:paraId="5A71364F" w14:textId="100F1091" w:rsidR="001F25E3" w:rsidRPr="00EE4197" w:rsidRDefault="004D2147" w:rsidP="00C93CA0">
      <w:pPr>
        <w:pStyle w:val="ListParagraph"/>
        <w:numPr>
          <w:ilvl w:val="0"/>
          <w:numId w:val="7"/>
        </w:numPr>
        <w:spacing w:after="60"/>
        <w:ind w:right="-58"/>
        <w:rPr>
          <w:rFonts w:asciiTheme="minorHAnsi" w:hAnsiTheme="minorHAnsi"/>
          <w:sz w:val="20"/>
          <w:szCs w:val="20"/>
        </w:rPr>
      </w:pPr>
      <w:r w:rsidRPr="00EE4197">
        <w:rPr>
          <w:rFonts w:asciiTheme="minorHAnsi" w:hAnsiTheme="minorHAnsi"/>
          <w:sz w:val="20"/>
          <w:szCs w:val="20"/>
        </w:rPr>
        <w:t>The RAPAO or NAMPAO is issued with (and the PRSR may choose to publish) a Chapter 120,</w:t>
      </w:r>
      <w:r w:rsidR="00FA749E">
        <w:rPr>
          <w:rFonts w:asciiTheme="minorHAnsi" w:hAnsiTheme="minorHAnsi"/>
          <w:sz w:val="20"/>
          <w:szCs w:val="20"/>
        </w:rPr>
        <w:t xml:space="preserve"> </w:t>
      </w:r>
      <w:r w:rsidRPr="00EE4197">
        <w:rPr>
          <w:rFonts w:asciiTheme="minorHAnsi" w:hAnsiTheme="minorHAnsi"/>
          <w:sz w:val="20"/>
          <w:szCs w:val="20"/>
        </w:rPr>
        <w:t>F.S., notice of rights and a specified petition period.</w:t>
      </w:r>
      <w:r w:rsidR="00FA749E">
        <w:rPr>
          <w:rFonts w:asciiTheme="minorHAnsi" w:hAnsiTheme="minorHAnsi"/>
          <w:sz w:val="20"/>
          <w:szCs w:val="20"/>
        </w:rPr>
        <w:t xml:space="preserve"> </w:t>
      </w:r>
    </w:p>
    <w:p w14:paraId="443D6936" w14:textId="2CFB48F1" w:rsidR="001F25E3" w:rsidRPr="00EE4197" w:rsidRDefault="004D2147" w:rsidP="00C93CA0">
      <w:pPr>
        <w:pStyle w:val="ListParagraph"/>
        <w:numPr>
          <w:ilvl w:val="0"/>
          <w:numId w:val="7"/>
        </w:numPr>
        <w:spacing w:after="60"/>
        <w:ind w:right="-58"/>
        <w:rPr>
          <w:rFonts w:asciiTheme="minorHAnsi" w:hAnsiTheme="minorHAnsi"/>
          <w:sz w:val="20"/>
          <w:szCs w:val="20"/>
        </w:rPr>
      </w:pPr>
      <w:r w:rsidRPr="00EE4197">
        <w:rPr>
          <w:rFonts w:asciiTheme="minorHAnsi" w:hAnsiTheme="minorHAnsi"/>
          <w:sz w:val="20"/>
          <w:szCs w:val="20"/>
        </w:rPr>
        <w:t>The</w:t>
      </w:r>
      <w:r w:rsidR="00CA1BB3" w:rsidRPr="00EE4197">
        <w:rPr>
          <w:rFonts w:asciiTheme="minorHAnsi" w:hAnsiTheme="minorHAnsi"/>
          <w:sz w:val="20"/>
          <w:szCs w:val="20"/>
        </w:rPr>
        <w:t xml:space="preserve"> FDEP </w:t>
      </w:r>
      <w:r w:rsidRPr="00EE4197">
        <w:rPr>
          <w:rFonts w:asciiTheme="minorHAnsi" w:hAnsiTheme="minorHAnsi"/>
          <w:sz w:val="20"/>
          <w:szCs w:val="20"/>
        </w:rPr>
        <w:t>project manager shall send a copy of the RAPAO or NAMPAO to everyone who commented on or expressed concerns about the notice.</w:t>
      </w:r>
      <w:r w:rsidR="00FA749E">
        <w:rPr>
          <w:rFonts w:asciiTheme="minorHAnsi" w:hAnsiTheme="minorHAnsi"/>
          <w:sz w:val="20"/>
          <w:szCs w:val="20"/>
        </w:rPr>
        <w:t xml:space="preserve"> </w:t>
      </w:r>
    </w:p>
    <w:p w14:paraId="51D45A4D" w14:textId="2A4CE2AD" w:rsidR="00A007FF" w:rsidRPr="002A5545" w:rsidRDefault="004D2147" w:rsidP="003F30E6">
      <w:pPr>
        <w:pStyle w:val="ListParagraph"/>
        <w:spacing w:after="120"/>
        <w:ind w:left="1080" w:right="-58"/>
        <w:rPr>
          <w:sz w:val="20"/>
          <w:szCs w:val="20"/>
        </w:rPr>
      </w:pPr>
      <w:r w:rsidRPr="00EE4197">
        <w:rPr>
          <w:rFonts w:asciiTheme="minorHAnsi" w:hAnsiTheme="minorHAnsi"/>
          <w:sz w:val="20"/>
          <w:szCs w:val="20"/>
        </w:rPr>
        <w:t>Affected parties will have an additional opportunity to comment upon issuance of the RAPAO or NAMPAO by filing either a petition challenging the Order or by filing a Request for Extension of Time to File a Petition.</w:t>
      </w:r>
      <w:r w:rsidR="00FA749E">
        <w:rPr>
          <w:rFonts w:asciiTheme="minorHAnsi" w:hAnsiTheme="minorHAnsi"/>
          <w:sz w:val="20"/>
          <w:szCs w:val="20"/>
        </w:rPr>
        <w:t xml:space="preserve"> </w:t>
      </w:r>
    </w:p>
    <w:p w14:paraId="5A991C7B" w14:textId="77777777" w:rsidR="00A539E6" w:rsidRPr="00EE4197" w:rsidRDefault="00180311" w:rsidP="00F617D3">
      <w:pPr>
        <w:pStyle w:val="ListParagraph"/>
        <w:spacing w:line="240" w:lineRule="atLeast"/>
        <w:ind w:right="-58" w:hanging="360"/>
        <w:rPr>
          <w:rFonts w:asciiTheme="minorHAnsi" w:hAnsiTheme="minorHAnsi"/>
          <w:sz w:val="20"/>
          <w:szCs w:val="20"/>
        </w:rPr>
      </w:pPr>
      <w:r w:rsidRPr="00EE4197">
        <w:rPr>
          <w:rFonts w:asciiTheme="minorHAnsi" w:hAnsiTheme="minorHAnsi"/>
          <w:sz w:val="20"/>
          <w:szCs w:val="20"/>
        </w:rPr>
        <w:t>4</w:t>
      </w:r>
      <w:r w:rsidR="00A539E6" w:rsidRPr="00EE4197">
        <w:rPr>
          <w:rFonts w:asciiTheme="minorHAnsi" w:hAnsiTheme="minorHAnsi"/>
          <w:sz w:val="20"/>
          <w:szCs w:val="20"/>
        </w:rPr>
        <w:t>.</w:t>
      </w:r>
      <w:r w:rsidR="00A539E6" w:rsidRPr="00EE4197">
        <w:rPr>
          <w:rFonts w:asciiTheme="minorHAnsi" w:hAnsiTheme="minorHAnsi"/>
          <w:sz w:val="20"/>
          <w:szCs w:val="20"/>
        </w:rPr>
        <w:tab/>
      </w:r>
      <w:r w:rsidR="00F617D3" w:rsidRPr="00EE4197">
        <w:rPr>
          <w:rFonts w:asciiTheme="minorHAnsi" w:hAnsiTheme="minorHAnsi"/>
          <w:sz w:val="20"/>
          <w:szCs w:val="20"/>
        </w:rPr>
        <w:t xml:space="preserve">If no petitions </w:t>
      </w:r>
      <w:r w:rsidR="0059696F" w:rsidRPr="00EE4197">
        <w:rPr>
          <w:rFonts w:asciiTheme="minorHAnsi" w:hAnsiTheme="minorHAnsi"/>
          <w:sz w:val="20"/>
          <w:szCs w:val="20"/>
        </w:rPr>
        <w:t xml:space="preserve">or extensions requests </w:t>
      </w:r>
      <w:r w:rsidR="00F617D3" w:rsidRPr="00EE4197">
        <w:rPr>
          <w:rFonts w:asciiTheme="minorHAnsi" w:hAnsiTheme="minorHAnsi"/>
          <w:sz w:val="20"/>
          <w:szCs w:val="20"/>
        </w:rPr>
        <w:t>are filed, t</w:t>
      </w:r>
      <w:r w:rsidR="00A539E6" w:rsidRPr="00EE4197">
        <w:rPr>
          <w:rFonts w:asciiTheme="minorHAnsi" w:hAnsiTheme="minorHAnsi"/>
          <w:sz w:val="20"/>
          <w:szCs w:val="20"/>
        </w:rPr>
        <w:t xml:space="preserve">he RAPAO </w:t>
      </w:r>
      <w:r w:rsidR="00FF6D92" w:rsidRPr="00EE4197">
        <w:rPr>
          <w:rFonts w:asciiTheme="minorHAnsi" w:hAnsiTheme="minorHAnsi"/>
          <w:sz w:val="20"/>
          <w:szCs w:val="20"/>
        </w:rPr>
        <w:t xml:space="preserve">or NAMPAO </w:t>
      </w:r>
      <w:r w:rsidR="00A539E6" w:rsidRPr="00EE4197">
        <w:rPr>
          <w:rFonts w:asciiTheme="minorHAnsi" w:hAnsiTheme="minorHAnsi"/>
          <w:sz w:val="20"/>
          <w:szCs w:val="20"/>
        </w:rPr>
        <w:t>becomes effective after the petition period ends.</w:t>
      </w:r>
    </w:p>
    <w:p w14:paraId="3EE689BA" w14:textId="77777777" w:rsidR="00A539E6" w:rsidRPr="00EE4197" w:rsidRDefault="00A539E6" w:rsidP="00E036D2">
      <w:pPr>
        <w:pStyle w:val="ListParagraph"/>
        <w:spacing w:line="240" w:lineRule="atLeast"/>
        <w:ind w:left="360" w:right="-61"/>
        <w:rPr>
          <w:rFonts w:asciiTheme="minorHAnsi" w:hAnsiTheme="minorHAnsi"/>
          <w:sz w:val="20"/>
          <w:szCs w:val="20"/>
        </w:rPr>
      </w:pPr>
    </w:p>
    <w:p w14:paraId="2D3E85C1" w14:textId="77777777" w:rsidR="00A007FF" w:rsidRPr="00EE4197" w:rsidRDefault="00805E0C" w:rsidP="00EE4197">
      <w:pPr>
        <w:pStyle w:val="ListParagraph"/>
        <w:numPr>
          <w:ilvl w:val="0"/>
          <w:numId w:val="8"/>
        </w:numPr>
        <w:spacing w:line="240" w:lineRule="atLeast"/>
        <w:ind w:right="-61"/>
        <w:rPr>
          <w:rFonts w:asciiTheme="minorHAnsi" w:hAnsiTheme="minorHAnsi"/>
          <w:b/>
          <w:sz w:val="20"/>
          <w:szCs w:val="20"/>
          <w:u w:val="single"/>
        </w:rPr>
      </w:pPr>
      <w:r w:rsidRPr="00EE4197">
        <w:rPr>
          <w:rFonts w:asciiTheme="minorHAnsi" w:hAnsiTheme="minorHAnsi"/>
          <w:b/>
          <w:sz w:val="20"/>
          <w:szCs w:val="20"/>
          <w:u w:val="single"/>
        </w:rPr>
        <w:t xml:space="preserve">Additional </w:t>
      </w:r>
      <w:r w:rsidR="00A83B0E" w:rsidRPr="00EE4197">
        <w:rPr>
          <w:rFonts w:asciiTheme="minorHAnsi" w:hAnsiTheme="minorHAnsi"/>
          <w:b/>
          <w:sz w:val="20"/>
          <w:szCs w:val="20"/>
          <w:u w:val="single"/>
        </w:rPr>
        <w:t>Guidance</w:t>
      </w:r>
    </w:p>
    <w:p w14:paraId="529E0724" w14:textId="77777777" w:rsidR="00A007FF" w:rsidRPr="00EE4197" w:rsidRDefault="00A007FF" w:rsidP="00E036D2">
      <w:pPr>
        <w:pStyle w:val="ListParagraph"/>
        <w:spacing w:line="240" w:lineRule="atLeast"/>
        <w:ind w:left="360" w:right="-61"/>
        <w:rPr>
          <w:rFonts w:asciiTheme="minorHAnsi" w:hAnsiTheme="minorHAnsi"/>
          <w:sz w:val="20"/>
          <w:szCs w:val="20"/>
        </w:rPr>
      </w:pPr>
    </w:p>
    <w:p w14:paraId="6AE96F85" w14:textId="1E0B9489" w:rsidR="00A83B0E" w:rsidRPr="002A5545" w:rsidRDefault="00C942DC" w:rsidP="002A5545">
      <w:pPr>
        <w:pStyle w:val="ListParagraph"/>
        <w:spacing w:after="120"/>
        <w:ind w:right="-58" w:hanging="360"/>
      </w:pPr>
      <w:r w:rsidRPr="00EE4197">
        <w:rPr>
          <w:rFonts w:asciiTheme="minorHAnsi" w:hAnsiTheme="minorHAnsi"/>
          <w:sz w:val="20"/>
          <w:szCs w:val="20"/>
        </w:rPr>
        <w:t>1</w:t>
      </w:r>
      <w:r w:rsidR="00A83B0E" w:rsidRPr="00EE4197">
        <w:rPr>
          <w:rFonts w:asciiTheme="minorHAnsi" w:hAnsiTheme="minorHAnsi"/>
          <w:sz w:val="20"/>
          <w:szCs w:val="20"/>
        </w:rPr>
        <w:t>.</w:t>
      </w:r>
      <w:r w:rsidR="00A83B0E" w:rsidRPr="00EE4197">
        <w:rPr>
          <w:rFonts w:asciiTheme="minorHAnsi" w:hAnsiTheme="minorHAnsi"/>
          <w:sz w:val="20"/>
          <w:szCs w:val="20"/>
        </w:rPr>
        <w:tab/>
        <w:t>TPOC Notice Letter</w:t>
      </w:r>
      <w:r w:rsidR="00077B35" w:rsidRPr="00EE4197">
        <w:rPr>
          <w:rFonts w:asciiTheme="minorHAnsi" w:hAnsiTheme="minorHAnsi"/>
          <w:sz w:val="20"/>
          <w:szCs w:val="20"/>
        </w:rPr>
        <w:t xml:space="preserve"> (Actual Notice)</w:t>
      </w:r>
    </w:p>
    <w:p w14:paraId="708FB51D" w14:textId="1FC249F1" w:rsidR="00F11299" w:rsidRPr="00EE4197" w:rsidRDefault="00E91165" w:rsidP="002A5545">
      <w:pPr>
        <w:spacing w:after="120" w:line="240" w:lineRule="auto"/>
        <w:ind w:left="1080" w:right="-58" w:hanging="360"/>
        <w:rPr>
          <w:sz w:val="20"/>
          <w:szCs w:val="20"/>
        </w:rPr>
      </w:pPr>
      <w:r w:rsidRPr="00EE4197">
        <w:rPr>
          <w:sz w:val="20"/>
          <w:szCs w:val="20"/>
        </w:rPr>
        <w:t>A.</w:t>
      </w:r>
      <w:r w:rsidRPr="00EE4197">
        <w:rPr>
          <w:sz w:val="20"/>
          <w:szCs w:val="20"/>
        </w:rPr>
        <w:tab/>
      </w:r>
      <w:r w:rsidR="00077B35" w:rsidRPr="00EE4197">
        <w:rPr>
          <w:sz w:val="20"/>
          <w:szCs w:val="20"/>
        </w:rPr>
        <w:t xml:space="preserve">The notice letter </w:t>
      </w:r>
      <w:r w:rsidRPr="00EE4197">
        <w:rPr>
          <w:sz w:val="20"/>
          <w:szCs w:val="20"/>
        </w:rPr>
        <w:t>sent by the PRSR should f</w:t>
      </w:r>
      <w:r w:rsidR="00077B35" w:rsidRPr="00EE4197">
        <w:rPr>
          <w:sz w:val="20"/>
          <w:szCs w:val="20"/>
        </w:rPr>
        <w:t xml:space="preserve">ollow </w:t>
      </w:r>
      <w:r w:rsidR="002A5545">
        <w:rPr>
          <w:sz w:val="20"/>
          <w:szCs w:val="20"/>
        </w:rPr>
        <w:t>FDEP</w:t>
      </w:r>
      <w:r w:rsidR="00077B35" w:rsidRPr="00EE4197">
        <w:rPr>
          <w:sz w:val="20"/>
          <w:szCs w:val="20"/>
        </w:rPr>
        <w:t>'s template</w:t>
      </w:r>
      <w:r w:rsidRPr="00EE4197">
        <w:rPr>
          <w:sz w:val="20"/>
          <w:szCs w:val="20"/>
        </w:rPr>
        <w:t>.</w:t>
      </w:r>
      <w:r w:rsidR="00FA749E">
        <w:rPr>
          <w:sz w:val="20"/>
          <w:szCs w:val="20"/>
        </w:rPr>
        <w:t xml:space="preserve"> </w:t>
      </w:r>
      <w:r w:rsidR="00077B35" w:rsidRPr="00EE4197">
        <w:rPr>
          <w:sz w:val="20"/>
          <w:szCs w:val="20"/>
        </w:rPr>
        <w:t>The notice letter provides a description of the site and</w:t>
      </w:r>
      <w:r w:rsidRPr="00EE4197">
        <w:rPr>
          <w:sz w:val="20"/>
          <w:szCs w:val="20"/>
        </w:rPr>
        <w:t xml:space="preserve"> </w:t>
      </w:r>
      <w:r w:rsidR="00077B35" w:rsidRPr="00EE4197">
        <w:rPr>
          <w:sz w:val="20"/>
          <w:szCs w:val="20"/>
        </w:rPr>
        <w:t xml:space="preserve">a </w:t>
      </w:r>
      <w:r w:rsidRPr="00EE4197">
        <w:rPr>
          <w:sz w:val="20"/>
          <w:szCs w:val="20"/>
        </w:rPr>
        <w:t>list</w:t>
      </w:r>
      <w:r w:rsidR="003C3A32" w:rsidRPr="00EE4197">
        <w:rPr>
          <w:sz w:val="20"/>
          <w:szCs w:val="20"/>
        </w:rPr>
        <w:t xml:space="preserve"> of</w:t>
      </w:r>
      <w:r w:rsidRPr="00EE4197">
        <w:rPr>
          <w:sz w:val="20"/>
          <w:szCs w:val="20"/>
        </w:rPr>
        <w:t xml:space="preserve"> the categories of contaminants that have been identified as COCs for the site (e.g., petroleum, chlorinated solvents, </w:t>
      </w:r>
      <w:r w:rsidR="002A5545">
        <w:rPr>
          <w:sz w:val="20"/>
          <w:szCs w:val="20"/>
        </w:rPr>
        <w:t>polycyclic aromatic hydrocarbons</w:t>
      </w:r>
      <w:r w:rsidRPr="00EE4197">
        <w:rPr>
          <w:sz w:val="20"/>
          <w:szCs w:val="20"/>
        </w:rPr>
        <w:t xml:space="preserve">, pesticides, </w:t>
      </w:r>
      <w:r w:rsidR="00452CA6" w:rsidRPr="00EE4197">
        <w:rPr>
          <w:sz w:val="20"/>
          <w:szCs w:val="20"/>
        </w:rPr>
        <w:t>metals, arsenic</w:t>
      </w:r>
      <w:r w:rsidR="00D8231E" w:rsidRPr="00EE4197">
        <w:rPr>
          <w:sz w:val="20"/>
          <w:szCs w:val="20"/>
        </w:rPr>
        <w:t>,</w:t>
      </w:r>
      <w:r w:rsidR="00452CA6" w:rsidRPr="00EE4197">
        <w:rPr>
          <w:sz w:val="20"/>
          <w:szCs w:val="20"/>
        </w:rPr>
        <w:t xml:space="preserve"> </w:t>
      </w:r>
      <w:r w:rsidRPr="00EE4197">
        <w:rPr>
          <w:sz w:val="20"/>
          <w:szCs w:val="20"/>
        </w:rPr>
        <w:t xml:space="preserve">etc.) and the affected media (soil, groundwater, surface water, </w:t>
      </w:r>
      <w:r w:rsidR="005973DC" w:rsidRPr="00EE4197">
        <w:rPr>
          <w:sz w:val="20"/>
          <w:szCs w:val="20"/>
        </w:rPr>
        <w:t>sediment</w:t>
      </w:r>
      <w:r w:rsidRPr="00EE4197">
        <w:rPr>
          <w:sz w:val="20"/>
          <w:szCs w:val="20"/>
        </w:rPr>
        <w:t>).</w:t>
      </w:r>
      <w:r w:rsidR="00FA749E">
        <w:rPr>
          <w:sz w:val="20"/>
          <w:szCs w:val="20"/>
        </w:rPr>
        <w:t xml:space="preserve"> </w:t>
      </w:r>
      <w:r w:rsidR="00077B35" w:rsidRPr="00EE4197">
        <w:rPr>
          <w:color w:val="000000" w:themeColor="text1"/>
          <w:sz w:val="20"/>
          <w:szCs w:val="20"/>
        </w:rPr>
        <w:t>A copy of the letter template is included in this guidance</w:t>
      </w:r>
      <w:r w:rsidR="002A5545">
        <w:rPr>
          <w:color w:val="000000" w:themeColor="text1"/>
          <w:sz w:val="20"/>
          <w:szCs w:val="20"/>
        </w:rPr>
        <w:t xml:space="preserve"> </w:t>
      </w:r>
      <w:r w:rsidR="002A5545" w:rsidRPr="001823DA">
        <w:rPr>
          <w:sz w:val="20"/>
          <w:szCs w:val="20"/>
        </w:rPr>
        <w:t>(see Attachment 1: Template for TPOC Actual Notice sent by the PRSR)</w:t>
      </w:r>
      <w:r w:rsidR="00F61362" w:rsidRPr="001823DA">
        <w:rPr>
          <w:color w:val="000000" w:themeColor="text1"/>
          <w:sz w:val="20"/>
          <w:szCs w:val="20"/>
        </w:rPr>
        <w:t>.</w:t>
      </w:r>
      <w:r w:rsidR="00F61362" w:rsidRPr="00EE4197" w:rsidDel="00F61362">
        <w:rPr>
          <w:color w:val="000000" w:themeColor="text1"/>
          <w:sz w:val="20"/>
          <w:szCs w:val="20"/>
        </w:rPr>
        <w:t xml:space="preserve"> </w:t>
      </w:r>
    </w:p>
    <w:p w14:paraId="08D98F61" w14:textId="51E3AA69" w:rsidR="00C24F4E" w:rsidRPr="00EE4197" w:rsidRDefault="00A83B0E" w:rsidP="002A5545">
      <w:pPr>
        <w:spacing w:after="120" w:line="240" w:lineRule="auto"/>
        <w:ind w:left="1080" w:right="-58" w:hanging="360"/>
        <w:rPr>
          <w:sz w:val="20"/>
          <w:szCs w:val="20"/>
        </w:rPr>
      </w:pPr>
      <w:r w:rsidRPr="00EE4197">
        <w:rPr>
          <w:sz w:val="20"/>
          <w:szCs w:val="20"/>
        </w:rPr>
        <w:t>B</w:t>
      </w:r>
      <w:r w:rsidR="00E91165" w:rsidRPr="00EE4197">
        <w:rPr>
          <w:sz w:val="20"/>
          <w:szCs w:val="20"/>
        </w:rPr>
        <w:t>.</w:t>
      </w:r>
      <w:r w:rsidR="00E91165" w:rsidRPr="00EE4197">
        <w:rPr>
          <w:sz w:val="20"/>
          <w:szCs w:val="20"/>
        </w:rPr>
        <w:tab/>
        <w:t xml:space="preserve">The notice letter is intended to give property owners general information along with contact information for the project </w:t>
      </w:r>
      <w:r w:rsidR="002A5545" w:rsidRPr="00EE4197">
        <w:rPr>
          <w:sz w:val="20"/>
          <w:szCs w:val="20"/>
        </w:rPr>
        <w:t>manager,</w:t>
      </w:r>
      <w:r w:rsidR="00E91165" w:rsidRPr="00EE4197">
        <w:rPr>
          <w:sz w:val="20"/>
          <w:szCs w:val="20"/>
        </w:rPr>
        <w:t xml:space="preserve"> so they can request more information if they want to know exactly which </w:t>
      </w:r>
      <w:r w:rsidR="002A5545">
        <w:rPr>
          <w:sz w:val="20"/>
          <w:szCs w:val="20"/>
        </w:rPr>
        <w:t>COCs</w:t>
      </w:r>
      <w:r w:rsidR="002A5545" w:rsidRPr="00EE4197">
        <w:rPr>
          <w:sz w:val="20"/>
          <w:szCs w:val="20"/>
        </w:rPr>
        <w:t xml:space="preserve"> </w:t>
      </w:r>
      <w:r w:rsidR="00E91165" w:rsidRPr="00EE4197">
        <w:rPr>
          <w:sz w:val="20"/>
          <w:szCs w:val="20"/>
        </w:rPr>
        <w:t>are affecting their property</w:t>
      </w:r>
      <w:r w:rsidR="002A5545">
        <w:rPr>
          <w:sz w:val="20"/>
          <w:szCs w:val="20"/>
        </w:rPr>
        <w:t>,</w:t>
      </w:r>
      <w:r w:rsidR="00E91165" w:rsidRPr="00EE4197">
        <w:rPr>
          <w:sz w:val="20"/>
          <w:szCs w:val="20"/>
        </w:rPr>
        <w:t xml:space="preserve"> and more precisely </w:t>
      </w:r>
      <w:r w:rsidR="00C24F4E" w:rsidRPr="00EE4197">
        <w:rPr>
          <w:sz w:val="20"/>
          <w:szCs w:val="20"/>
        </w:rPr>
        <w:t>locate</w:t>
      </w:r>
      <w:r w:rsidR="00E91165" w:rsidRPr="00EE4197">
        <w:rPr>
          <w:sz w:val="20"/>
          <w:szCs w:val="20"/>
        </w:rPr>
        <w:t xml:space="preserve"> the contamination</w:t>
      </w:r>
      <w:r w:rsidR="00C24F4E" w:rsidRPr="00EE4197">
        <w:rPr>
          <w:sz w:val="20"/>
          <w:szCs w:val="20"/>
        </w:rPr>
        <w:t>.</w:t>
      </w:r>
    </w:p>
    <w:p w14:paraId="24A9246A" w14:textId="75961384" w:rsidR="00586D16" w:rsidRDefault="00C24F4E" w:rsidP="002A5545">
      <w:pPr>
        <w:ind w:left="1080" w:hanging="360"/>
        <w:rPr>
          <w:sz w:val="20"/>
          <w:szCs w:val="20"/>
        </w:rPr>
      </w:pPr>
      <w:r w:rsidRPr="00EE4197">
        <w:rPr>
          <w:sz w:val="20"/>
          <w:szCs w:val="20"/>
        </w:rPr>
        <w:t>C.</w:t>
      </w:r>
      <w:r w:rsidRPr="00EE4197">
        <w:rPr>
          <w:sz w:val="20"/>
          <w:szCs w:val="20"/>
        </w:rPr>
        <w:tab/>
        <w:t xml:space="preserve">The notice letter should include a </w:t>
      </w:r>
      <w:r w:rsidR="002A5545">
        <w:rPr>
          <w:sz w:val="20"/>
          <w:szCs w:val="20"/>
        </w:rPr>
        <w:t xml:space="preserve">vicinity </w:t>
      </w:r>
      <w:r w:rsidRPr="00EE4197">
        <w:rPr>
          <w:sz w:val="20"/>
          <w:szCs w:val="20"/>
        </w:rPr>
        <w:t>map</w:t>
      </w:r>
      <w:r w:rsidR="002A5545">
        <w:rPr>
          <w:sz w:val="20"/>
          <w:szCs w:val="20"/>
        </w:rPr>
        <w:t xml:space="preserve"> (site plan)</w:t>
      </w:r>
      <w:r w:rsidRPr="00EE4197">
        <w:rPr>
          <w:sz w:val="20"/>
          <w:szCs w:val="20"/>
        </w:rPr>
        <w:t xml:space="preserve"> t</w:t>
      </w:r>
      <w:r w:rsidR="005673D6" w:rsidRPr="00EE4197">
        <w:rPr>
          <w:sz w:val="20"/>
          <w:szCs w:val="20"/>
        </w:rPr>
        <w:t xml:space="preserve">o satisfy </w:t>
      </w:r>
      <w:r w:rsidRPr="00EE4197">
        <w:rPr>
          <w:sz w:val="20"/>
          <w:szCs w:val="20"/>
        </w:rPr>
        <w:t xml:space="preserve">the </w:t>
      </w:r>
      <w:r w:rsidR="00452CA6" w:rsidRPr="00EE4197">
        <w:rPr>
          <w:sz w:val="20"/>
          <w:szCs w:val="20"/>
        </w:rPr>
        <w:t>“</w:t>
      </w:r>
      <w:r w:rsidRPr="00EE4197">
        <w:rPr>
          <w:sz w:val="20"/>
          <w:szCs w:val="20"/>
        </w:rPr>
        <w:t>description of site</w:t>
      </w:r>
      <w:r w:rsidR="00452CA6" w:rsidRPr="00EE4197">
        <w:rPr>
          <w:sz w:val="20"/>
          <w:szCs w:val="20"/>
        </w:rPr>
        <w:t>”</w:t>
      </w:r>
      <w:r w:rsidRPr="00EE4197">
        <w:rPr>
          <w:sz w:val="20"/>
          <w:szCs w:val="20"/>
        </w:rPr>
        <w:t xml:space="preserve"> requirement referenced </w:t>
      </w:r>
      <w:r w:rsidR="00F61362" w:rsidRPr="00EE4197">
        <w:rPr>
          <w:sz w:val="20"/>
          <w:szCs w:val="20"/>
        </w:rPr>
        <w:t xml:space="preserve">in 1.A. </w:t>
      </w:r>
      <w:r w:rsidRPr="00EE4197">
        <w:rPr>
          <w:sz w:val="20"/>
          <w:szCs w:val="20"/>
        </w:rPr>
        <w:t>above.</w:t>
      </w:r>
      <w:r w:rsidR="00FA749E">
        <w:rPr>
          <w:sz w:val="20"/>
          <w:szCs w:val="20"/>
        </w:rPr>
        <w:t xml:space="preserve"> </w:t>
      </w:r>
      <w:r w:rsidRPr="002A5545">
        <w:rPr>
          <w:sz w:val="20"/>
          <w:szCs w:val="20"/>
        </w:rPr>
        <w:t xml:space="preserve">The </w:t>
      </w:r>
      <w:r w:rsidR="002A5545" w:rsidRPr="002A5545">
        <w:rPr>
          <w:sz w:val="20"/>
          <w:szCs w:val="20"/>
        </w:rPr>
        <w:t xml:space="preserve">vicinity </w:t>
      </w:r>
      <w:r w:rsidRPr="002A5545">
        <w:rPr>
          <w:sz w:val="20"/>
          <w:szCs w:val="20"/>
        </w:rPr>
        <w:t xml:space="preserve">map should be of a </w:t>
      </w:r>
      <w:r w:rsidR="003C3A32" w:rsidRPr="002A5545">
        <w:rPr>
          <w:sz w:val="20"/>
          <w:szCs w:val="20"/>
        </w:rPr>
        <w:t xml:space="preserve">legible </w:t>
      </w:r>
      <w:r w:rsidR="00D235DB" w:rsidRPr="002A5545">
        <w:rPr>
          <w:sz w:val="20"/>
          <w:szCs w:val="20"/>
        </w:rPr>
        <w:t>scale and</w:t>
      </w:r>
      <w:r w:rsidRPr="002A5545">
        <w:rPr>
          <w:sz w:val="20"/>
          <w:szCs w:val="20"/>
        </w:rPr>
        <w:t xml:space="preserve"> include identification of the proposed TPOC line as well as </w:t>
      </w:r>
      <w:proofErr w:type="gramStart"/>
      <w:r w:rsidRPr="002A5545">
        <w:rPr>
          <w:sz w:val="20"/>
          <w:szCs w:val="20"/>
        </w:rPr>
        <w:t>sufficient</w:t>
      </w:r>
      <w:proofErr w:type="gramEnd"/>
      <w:r w:rsidRPr="002A5545">
        <w:rPr>
          <w:sz w:val="20"/>
          <w:szCs w:val="20"/>
        </w:rPr>
        <w:t xml:space="preserve"> street names or area landmarks to allow the recipient to identify the area included </w:t>
      </w:r>
      <w:r w:rsidR="0031600A" w:rsidRPr="002A5545">
        <w:rPr>
          <w:sz w:val="20"/>
          <w:szCs w:val="20"/>
        </w:rPr>
        <w:t>in</w:t>
      </w:r>
      <w:r w:rsidRPr="002A5545">
        <w:rPr>
          <w:sz w:val="20"/>
          <w:szCs w:val="20"/>
        </w:rPr>
        <w:t xml:space="preserve"> the proposed TPOC action</w:t>
      </w:r>
      <w:r w:rsidR="00F32E49" w:rsidRPr="00EE4197">
        <w:rPr>
          <w:sz w:val="20"/>
          <w:szCs w:val="20"/>
        </w:rPr>
        <w:t>.</w:t>
      </w:r>
      <w:r w:rsidR="00FA749E">
        <w:rPr>
          <w:sz w:val="20"/>
          <w:szCs w:val="20"/>
        </w:rPr>
        <w:t xml:space="preserve"> </w:t>
      </w:r>
      <w:r w:rsidR="00F32E49" w:rsidRPr="00EE4197">
        <w:rPr>
          <w:sz w:val="20"/>
          <w:szCs w:val="20"/>
        </w:rPr>
        <w:t>Notice</w:t>
      </w:r>
      <w:r w:rsidRPr="00EE4197">
        <w:rPr>
          <w:sz w:val="20"/>
          <w:szCs w:val="20"/>
        </w:rPr>
        <w:t xml:space="preserve"> letters do not need to include a list of all the properties that are listed in the </w:t>
      </w:r>
      <w:r w:rsidR="0064636E" w:rsidRPr="00EE4197">
        <w:rPr>
          <w:sz w:val="20"/>
          <w:szCs w:val="20"/>
        </w:rPr>
        <w:t>published</w:t>
      </w:r>
      <w:r w:rsidRPr="00EE4197">
        <w:rPr>
          <w:sz w:val="20"/>
          <w:szCs w:val="20"/>
        </w:rPr>
        <w:t xml:space="preserve"> notice.</w:t>
      </w:r>
    </w:p>
    <w:p w14:paraId="1C0E9FFE" w14:textId="2D16C14B" w:rsidR="00734914" w:rsidRPr="00C93CA0" w:rsidRDefault="00C942DC" w:rsidP="00C93CA0">
      <w:pPr>
        <w:spacing w:after="120" w:line="240" w:lineRule="auto"/>
        <w:ind w:left="720" w:right="-58" w:hanging="360"/>
        <w:outlineLvl w:val="0"/>
        <w:rPr>
          <w:sz w:val="20"/>
          <w:szCs w:val="20"/>
        </w:rPr>
      </w:pPr>
      <w:r w:rsidRPr="00EE4197">
        <w:rPr>
          <w:rFonts w:eastAsia="Calibri" w:cs="Times New Roman"/>
          <w:sz w:val="20"/>
          <w:szCs w:val="20"/>
        </w:rPr>
        <w:t>2</w:t>
      </w:r>
      <w:r w:rsidR="00A83B0E" w:rsidRPr="00EE4197">
        <w:rPr>
          <w:rFonts w:eastAsia="Calibri" w:cs="Times New Roman"/>
          <w:sz w:val="20"/>
          <w:szCs w:val="20"/>
        </w:rPr>
        <w:t>.</w:t>
      </w:r>
      <w:r w:rsidR="00A83B0E" w:rsidRPr="00EE4197">
        <w:rPr>
          <w:rFonts w:eastAsia="Calibri" w:cs="Times New Roman"/>
          <w:sz w:val="20"/>
          <w:szCs w:val="20"/>
        </w:rPr>
        <w:tab/>
        <w:t xml:space="preserve">TPOC </w:t>
      </w:r>
      <w:r w:rsidR="0064636E" w:rsidRPr="00EE4197">
        <w:rPr>
          <w:rFonts w:eastAsia="Calibri" w:cs="Times New Roman"/>
          <w:sz w:val="20"/>
          <w:szCs w:val="20"/>
        </w:rPr>
        <w:t xml:space="preserve">Published </w:t>
      </w:r>
      <w:r w:rsidR="00A83B0E" w:rsidRPr="00EE4197">
        <w:rPr>
          <w:rFonts w:eastAsia="Calibri" w:cs="Times New Roman"/>
          <w:sz w:val="20"/>
          <w:szCs w:val="20"/>
        </w:rPr>
        <w:t>Notice</w:t>
      </w:r>
      <w:r w:rsidR="0064636E" w:rsidRPr="00EE4197">
        <w:rPr>
          <w:rFonts w:eastAsia="Calibri" w:cs="Times New Roman"/>
          <w:sz w:val="20"/>
          <w:szCs w:val="20"/>
        </w:rPr>
        <w:t xml:space="preserve"> (Constructive Notice)</w:t>
      </w:r>
    </w:p>
    <w:p w14:paraId="160BF6E3" w14:textId="441C5C72" w:rsidR="002A5545" w:rsidRPr="00C93CA0" w:rsidRDefault="000B04DD" w:rsidP="00C93CA0">
      <w:pPr>
        <w:pStyle w:val="ListParagraph"/>
        <w:numPr>
          <w:ilvl w:val="0"/>
          <w:numId w:val="10"/>
        </w:numPr>
        <w:spacing w:after="120"/>
        <w:ind w:right="-58"/>
        <w:rPr>
          <w:sz w:val="20"/>
          <w:szCs w:val="20"/>
        </w:rPr>
      </w:pPr>
      <w:r w:rsidRPr="002A5545">
        <w:rPr>
          <w:sz w:val="20"/>
          <w:szCs w:val="20"/>
        </w:rPr>
        <w:t xml:space="preserve">The PRSR publishes the notice one time within 30 days of receipt of the </w:t>
      </w:r>
      <w:r w:rsidR="002A5545" w:rsidRPr="002A5545">
        <w:rPr>
          <w:sz w:val="20"/>
          <w:szCs w:val="20"/>
        </w:rPr>
        <w:t xml:space="preserve">FDEP’s </w:t>
      </w:r>
      <w:r w:rsidRPr="002A5545">
        <w:rPr>
          <w:sz w:val="20"/>
          <w:szCs w:val="20"/>
        </w:rPr>
        <w:t>"Intent to Approve" notice.</w:t>
      </w:r>
      <w:r w:rsidR="00FA749E" w:rsidRPr="002A5545">
        <w:rPr>
          <w:sz w:val="20"/>
          <w:szCs w:val="20"/>
        </w:rPr>
        <w:t xml:space="preserve"> </w:t>
      </w:r>
    </w:p>
    <w:p w14:paraId="518A05E7" w14:textId="03E0CB45" w:rsidR="00077B35" w:rsidRPr="00C93CA0" w:rsidRDefault="000B04DD" w:rsidP="00C93CA0">
      <w:pPr>
        <w:pStyle w:val="ListParagraph"/>
        <w:spacing w:after="120"/>
        <w:ind w:left="1080" w:right="-58" w:hanging="360"/>
      </w:pPr>
      <w:r w:rsidRPr="00EE4197">
        <w:rPr>
          <w:rFonts w:asciiTheme="minorHAnsi" w:hAnsiTheme="minorHAnsi"/>
          <w:sz w:val="20"/>
          <w:szCs w:val="20"/>
        </w:rPr>
        <w:t>B</w:t>
      </w:r>
      <w:r w:rsidR="0064636E" w:rsidRPr="00EE4197">
        <w:rPr>
          <w:rFonts w:asciiTheme="minorHAnsi" w:hAnsiTheme="minorHAnsi"/>
          <w:sz w:val="20"/>
          <w:szCs w:val="20"/>
        </w:rPr>
        <w:t>.</w:t>
      </w:r>
      <w:r w:rsidR="0064636E" w:rsidRPr="00EE4197">
        <w:rPr>
          <w:rFonts w:asciiTheme="minorHAnsi" w:hAnsiTheme="minorHAnsi"/>
          <w:sz w:val="20"/>
          <w:szCs w:val="20"/>
        </w:rPr>
        <w:tab/>
      </w:r>
      <w:r w:rsidR="00077B35" w:rsidRPr="00EE4197">
        <w:rPr>
          <w:rFonts w:asciiTheme="minorHAnsi" w:hAnsiTheme="minorHAnsi"/>
          <w:sz w:val="20"/>
          <w:szCs w:val="20"/>
        </w:rPr>
        <w:t>The published notice must include the same information as required in the actual notice.</w:t>
      </w:r>
      <w:r w:rsidR="002A5545" w:rsidRPr="002A5545">
        <w:rPr>
          <w:color w:val="000000" w:themeColor="text1"/>
          <w:sz w:val="20"/>
          <w:szCs w:val="20"/>
        </w:rPr>
        <w:t xml:space="preserve"> </w:t>
      </w:r>
      <w:r w:rsidR="002A5545" w:rsidRPr="00EE4197">
        <w:rPr>
          <w:color w:val="000000" w:themeColor="text1"/>
          <w:sz w:val="20"/>
          <w:szCs w:val="20"/>
        </w:rPr>
        <w:t xml:space="preserve">A copy of the </w:t>
      </w:r>
      <w:r w:rsidR="002A5545">
        <w:rPr>
          <w:color w:val="000000" w:themeColor="text1"/>
          <w:sz w:val="20"/>
          <w:szCs w:val="20"/>
        </w:rPr>
        <w:t>notice</w:t>
      </w:r>
      <w:r w:rsidR="002A5545" w:rsidRPr="00EE4197">
        <w:rPr>
          <w:color w:val="000000" w:themeColor="text1"/>
          <w:sz w:val="20"/>
          <w:szCs w:val="20"/>
        </w:rPr>
        <w:t xml:space="preserve"> template is included in this guidance</w:t>
      </w:r>
      <w:r w:rsidR="002A5545">
        <w:rPr>
          <w:color w:val="000000" w:themeColor="text1"/>
          <w:sz w:val="20"/>
          <w:szCs w:val="20"/>
        </w:rPr>
        <w:t xml:space="preserve"> </w:t>
      </w:r>
      <w:r w:rsidR="002A5545" w:rsidRPr="001823DA">
        <w:rPr>
          <w:sz w:val="20"/>
          <w:szCs w:val="20"/>
        </w:rPr>
        <w:t>(see Attachment 2: Template for Constructive Notice Publication)</w:t>
      </w:r>
      <w:r w:rsidR="002A5545" w:rsidRPr="001823DA">
        <w:rPr>
          <w:color w:val="000000" w:themeColor="text1"/>
          <w:sz w:val="20"/>
          <w:szCs w:val="20"/>
        </w:rPr>
        <w:t>.</w:t>
      </w:r>
    </w:p>
    <w:p w14:paraId="3711580B" w14:textId="77777777" w:rsidR="00C942DC" w:rsidRPr="00EE4197" w:rsidRDefault="000B04DD" w:rsidP="00C93CA0">
      <w:pPr>
        <w:spacing w:after="120" w:line="240" w:lineRule="auto"/>
        <w:ind w:left="1080" w:right="-58" w:hanging="360"/>
        <w:rPr>
          <w:rFonts w:eastAsia="Calibri" w:cs="Times New Roman"/>
          <w:sz w:val="20"/>
          <w:szCs w:val="20"/>
        </w:rPr>
      </w:pPr>
      <w:r w:rsidRPr="00EE4197">
        <w:rPr>
          <w:rFonts w:eastAsia="Calibri" w:cs="Times New Roman"/>
          <w:sz w:val="20"/>
          <w:szCs w:val="20"/>
        </w:rPr>
        <w:t>C</w:t>
      </w:r>
      <w:r w:rsidR="00C942DC" w:rsidRPr="00EE4197">
        <w:rPr>
          <w:rFonts w:eastAsia="Calibri" w:cs="Times New Roman"/>
          <w:sz w:val="20"/>
          <w:szCs w:val="20"/>
        </w:rPr>
        <w:t>.</w:t>
      </w:r>
      <w:r w:rsidR="00C942DC" w:rsidRPr="00EE4197">
        <w:rPr>
          <w:rFonts w:eastAsia="Calibri" w:cs="Times New Roman"/>
          <w:sz w:val="20"/>
          <w:szCs w:val="20"/>
        </w:rPr>
        <w:tab/>
        <w:t xml:space="preserve">The </w:t>
      </w:r>
      <w:r w:rsidR="00734914" w:rsidRPr="00EE4197">
        <w:rPr>
          <w:rFonts w:eastAsia="Calibri" w:cs="Times New Roman"/>
          <w:sz w:val="20"/>
          <w:szCs w:val="20"/>
        </w:rPr>
        <w:t xml:space="preserve">notice must be published per the following specifications to be </w:t>
      </w:r>
      <w:r w:rsidR="00F32E49" w:rsidRPr="00EE4197">
        <w:rPr>
          <w:rFonts w:eastAsia="Calibri" w:cs="Times New Roman"/>
          <w:sz w:val="20"/>
          <w:szCs w:val="20"/>
        </w:rPr>
        <w:t>valid</w:t>
      </w:r>
      <w:r w:rsidR="00734914" w:rsidRPr="00EE4197">
        <w:rPr>
          <w:rFonts w:eastAsia="Calibri" w:cs="Times New Roman"/>
          <w:sz w:val="20"/>
          <w:szCs w:val="20"/>
        </w:rPr>
        <w:t xml:space="preserve">: </w:t>
      </w:r>
    </w:p>
    <w:p w14:paraId="2F6B71C4" w14:textId="77777777" w:rsidR="00C942DC" w:rsidRPr="00EE4197" w:rsidRDefault="00C942DC" w:rsidP="00C93CA0">
      <w:pPr>
        <w:spacing w:afterLines="60" w:after="144" w:line="240" w:lineRule="auto"/>
        <w:ind w:left="1440" w:right="-58" w:hanging="360"/>
        <w:rPr>
          <w:rFonts w:eastAsia="Calibri" w:cs="Times New Roman"/>
          <w:sz w:val="20"/>
          <w:szCs w:val="20"/>
        </w:rPr>
      </w:pPr>
      <w:r w:rsidRPr="00EE4197">
        <w:rPr>
          <w:rFonts w:eastAsia="Calibri" w:cs="Times New Roman"/>
          <w:sz w:val="20"/>
          <w:szCs w:val="20"/>
        </w:rPr>
        <w:lastRenderedPageBreak/>
        <w:t>•</w:t>
      </w:r>
      <w:r w:rsidRPr="00EE4197">
        <w:rPr>
          <w:rFonts w:eastAsia="Calibri" w:cs="Times New Roman"/>
          <w:sz w:val="20"/>
          <w:szCs w:val="20"/>
        </w:rPr>
        <w:tab/>
        <w:t>T</w:t>
      </w:r>
      <w:r w:rsidR="00734914" w:rsidRPr="00EE4197">
        <w:rPr>
          <w:rFonts w:eastAsia="Calibri" w:cs="Times New Roman"/>
          <w:sz w:val="20"/>
          <w:szCs w:val="20"/>
        </w:rPr>
        <w:t>he notice must be at least two</w:t>
      </w:r>
      <w:r w:rsidRPr="00EE4197">
        <w:rPr>
          <w:rFonts w:eastAsia="Calibri" w:cs="Times New Roman"/>
          <w:sz w:val="20"/>
          <w:szCs w:val="20"/>
        </w:rPr>
        <w:t xml:space="preserve"> columns wide by 10 inches long.</w:t>
      </w:r>
    </w:p>
    <w:p w14:paraId="47F848E4" w14:textId="77777777" w:rsidR="00C942DC" w:rsidRPr="00EE4197" w:rsidRDefault="00C942DC" w:rsidP="00C93CA0">
      <w:pPr>
        <w:spacing w:after="60" w:line="240" w:lineRule="auto"/>
        <w:ind w:left="1440" w:right="-58" w:hanging="360"/>
        <w:rPr>
          <w:rFonts w:eastAsia="Calibri" w:cs="Times New Roman"/>
          <w:sz w:val="20"/>
          <w:szCs w:val="20"/>
        </w:rPr>
      </w:pPr>
      <w:r w:rsidRPr="00EE4197">
        <w:rPr>
          <w:rFonts w:eastAsia="Calibri" w:cs="Times New Roman"/>
          <w:sz w:val="20"/>
          <w:szCs w:val="20"/>
        </w:rPr>
        <w:t>•</w:t>
      </w:r>
      <w:r w:rsidRPr="00EE4197">
        <w:rPr>
          <w:rFonts w:eastAsia="Calibri" w:cs="Times New Roman"/>
          <w:sz w:val="20"/>
          <w:szCs w:val="20"/>
        </w:rPr>
        <w:tab/>
        <w:t>The</w:t>
      </w:r>
      <w:r w:rsidR="00734914" w:rsidRPr="00EE4197">
        <w:rPr>
          <w:rFonts w:eastAsia="Calibri" w:cs="Times New Roman"/>
          <w:sz w:val="20"/>
          <w:szCs w:val="20"/>
        </w:rPr>
        <w:t xml:space="preserve"> headline </w:t>
      </w:r>
      <w:r w:rsidRPr="00EE4197">
        <w:rPr>
          <w:rFonts w:eastAsia="Calibri" w:cs="Times New Roman"/>
          <w:sz w:val="20"/>
          <w:szCs w:val="20"/>
        </w:rPr>
        <w:t xml:space="preserve">must be </w:t>
      </w:r>
      <w:r w:rsidR="00734914" w:rsidRPr="00EE4197">
        <w:rPr>
          <w:rFonts w:eastAsia="Calibri" w:cs="Times New Roman"/>
          <w:sz w:val="20"/>
          <w:szCs w:val="20"/>
        </w:rPr>
        <w:t>in a type no smaller than 18-point font</w:t>
      </w:r>
      <w:r w:rsidR="00C24F4E" w:rsidRPr="00EE4197">
        <w:rPr>
          <w:rFonts w:eastAsia="Calibri" w:cs="Times New Roman"/>
          <w:sz w:val="20"/>
          <w:szCs w:val="20"/>
        </w:rPr>
        <w:t xml:space="preserve"> (font not specified)</w:t>
      </w:r>
      <w:r w:rsidRPr="00EE4197">
        <w:rPr>
          <w:rFonts w:eastAsia="Calibri" w:cs="Times New Roman"/>
          <w:sz w:val="20"/>
          <w:szCs w:val="20"/>
        </w:rPr>
        <w:t>.</w:t>
      </w:r>
    </w:p>
    <w:p w14:paraId="1B1120C2" w14:textId="77777777" w:rsidR="00C942DC" w:rsidRPr="00EE4197" w:rsidRDefault="00C942DC" w:rsidP="00C93CA0">
      <w:pPr>
        <w:spacing w:after="60" w:line="240" w:lineRule="auto"/>
        <w:ind w:left="1440" w:right="-58" w:hanging="360"/>
        <w:rPr>
          <w:rFonts w:eastAsia="Calibri" w:cs="Times New Roman"/>
          <w:sz w:val="20"/>
          <w:szCs w:val="20"/>
        </w:rPr>
      </w:pPr>
      <w:r w:rsidRPr="00EE4197">
        <w:rPr>
          <w:rFonts w:eastAsia="Calibri" w:cs="Times New Roman"/>
          <w:sz w:val="20"/>
          <w:szCs w:val="20"/>
        </w:rPr>
        <w:t>•</w:t>
      </w:r>
      <w:r w:rsidRPr="00EE4197">
        <w:rPr>
          <w:rFonts w:eastAsia="Calibri" w:cs="Times New Roman"/>
          <w:sz w:val="20"/>
          <w:szCs w:val="20"/>
        </w:rPr>
        <w:tab/>
        <w:t>T</w:t>
      </w:r>
      <w:r w:rsidR="00734914" w:rsidRPr="00EE4197">
        <w:rPr>
          <w:rFonts w:eastAsia="Calibri" w:cs="Times New Roman"/>
          <w:sz w:val="20"/>
          <w:szCs w:val="20"/>
        </w:rPr>
        <w:t xml:space="preserve">he body of the notice </w:t>
      </w:r>
      <w:r w:rsidRPr="00EE4197">
        <w:rPr>
          <w:rFonts w:eastAsia="Calibri" w:cs="Times New Roman"/>
          <w:sz w:val="20"/>
          <w:szCs w:val="20"/>
        </w:rPr>
        <w:t xml:space="preserve">must be </w:t>
      </w:r>
      <w:r w:rsidR="00734914" w:rsidRPr="00EE4197">
        <w:rPr>
          <w:rFonts w:eastAsia="Calibri" w:cs="Times New Roman"/>
          <w:sz w:val="20"/>
          <w:szCs w:val="20"/>
        </w:rPr>
        <w:t>in a type no smaller than 10-point font</w:t>
      </w:r>
      <w:r w:rsidR="00C24F4E" w:rsidRPr="00EE4197">
        <w:rPr>
          <w:rFonts w:eastAsia="Calibri" w:cs="Times New Roman"/>
          <w:sz w:val="20"/>
          <w:szCs w:val="20"/>
        </w:rPr>
        <w:t xml:space="preserve"> (font not specified)</w:t>
      </w:r>
      <w:r w:rsidRPr="00EE4197">
        <w:rPr>
          <w:rFonts w:eastAsia="Calibri" w:cs="Times New Roman"/>
          <w:sz w:val="20"/>
          <w:szCs w:val="20"/>
        </w:rPr>
        <w:t>.</w:t>
      </w:r>
    </w:p>
    <w:p w14:paraId="71241984" w14:textId="201C45FD" w:rsidR="00570F76" w:rsidRPr="00EE4197" w:rsidRDefault="00C942DC" w:rsidP="00C93CA0">
      <w:pPr>
        <w:spacing w:after="120" w:line="240" w:lineRule="auto"/>
        <w:ind w:left="1440" w:right="-58" w:hanging="360"/>
        <w:rPr>
          <w:rFonts w:eastAsia="Calibri" w:cs="Times New Roman"/>
          <w:sz w:val="20"/>
          <w:szCs w:val="20"/>
        </w:rPr>
      </w:pPr>
      <w:r w:rsidRPr="00EE4197">
        <w:rPr>
          <w:rFonts w:eastAsia="Calibri" w:cs="Times New Roman"/>
          <w:sz w:val="20"/>
          <w:szCs w:val="20"/>
        </w:rPr>
        <w:t>•</w:t>
      </w:r>
      <w:r w:rsidRPr="00EE4197">
        <w:rPr>
          <w:rFonts w:eastAsia="Calibri" w:cs="Times New Roman"/>
          <w:sz w:val="20"/>
          <w:szCs w:val="20"/>
        </w:rPr>
        <w:tab/>
        <w:t xml:space="preserve">The notice </w:t>
      </w:r>
      <w:r w:rsidR="00734914" w:rsidRPr="00EE4197">
        <w:rPr>
          <w:rFonts w:eastAsia="Calibri" w:cs="Times New Roman"/>
          <w:sz w:val="20"/>
          <w:szCs w:val="20"/>
        </w:rPr>
        <w:t>must be published in a standard-size newspaper of general circulation</w:t>
      </w:r>
      <w:r w:rsidR="00C24F4E" w:rsidRPr="00EE4197">
        <w:rPr>
          <w:rFonts w:eastAsia="Calibri" w:cs="Times New Roman"/>
          <w:sz w:val="20"/>
          <w:szCs w:val="20"/>
        </w:rPr>
        <w:t xml:space="preserve"> in the area where the site is located</w:t>
      </w:r>
      <w:r w:rsidR="00734914" w:rsidRPr="00EE4197">
        <w:rPr>
          <w:rFonts w:eastAsia="Calibri" w:cs="Times New Roman"/>
          <w:sz w:val="20"/>
          <w:szCs w:val="20"/>
        </w:rPr>
        <w:t>.</w:t>
      </w:r>
      <w:r w:rsidR="00BC7E5F" w:rsidRPr="00EE4197">
        <w:rPr>
          <w:rFonts w:eastAsia="Calibri" w:cs="Times New Roman"/>
          <w:sz w:val="20"/>
          <w:szCs w:val="20"/>
        </w:rPr>
        <w:t xml:space="preserve"> </w:t>
      </w:r>
    </w:p>
    <w:p w14:paraId="77528F72" w14:textId="778216A4" w:rsidR="00DB4ABA" w:rsidRPr="00EE4197" w:rsidRDefault="00D14214" w:rsidP="00C93CA0">
      <w:pPr>
        <w:spacing w:after="120" w:line="240" w:lineRule="atLeast"/>
        <w:ind w:left="1080" w:right="-58" w:hanging="360"/>
        <w:rPr>
          <w:rFonts w:eastAsia="Calibri" w:cs="Times New Roman"/>
          <w:sz w:val="20"/>
          <w:szCs w:val="20"/>
        </w:rPr>
      </w:pPr>
      <w:r w:rsidRPr="00EE4197">
        <w:rPr>
          <w:sz w:val="20"/>
          <w:szCs w:val="20"/>
        </w:rPr>
        <w:t>D.</w:t>
      </w:r>
      <w:r w:rsidRPr="00EE4197">
        <w:rPr>
          <w:sz w:val="20"/>
          <w:szCs w:val="20"/>
        </w:rPr>
        <w:tab/>
      </w:r>
      <w:r w:rsidR="00DB4ABA" w:rsidRPr="00EE4197">
        <w:rPr>
          <w:sz w:val="20"/>
          <w:szCs w:val="20"/>
        </w:rPr>
        <w:t>The newspaper notice will include a list of affected properties, by address.</w:t>
      </w:r>
    </w:p>
    <w:p w14:paraId="355608D8" w14:textId="4CFE4520" w:rsidR="00734914" w:rsidRPr="00EE4197" w:rsidRDefault="00D14214" w:rsidP="00C942DC">
      <w:pPr>
        <w:spacing w:after="0" w:line="240" w:lineRule="atLeast"/>
        <w:ind w:left="1080" w:right="-61" w:hanging="360"/>
        <w:rPr>
          <w:color w:val="000000" w:themeColor="text1"/>
          <w:sz w:val="20"/>
          <w:szCs w:val="20"/>
        </w:rPr>
      </w:pPr>
      <w:r w:rsidRPr="00EE4197">
        <w:rPr>
          <w:color w:val="000000" w:themeColor="text1"/>
          <w:sz w:val="20"/>
          <w:szCs w:val="20"/>
        </w:rPr>
        <w:t>E</w:t>
      </w:r>
      <w:r w:rsidR="00C942DC" w:rsidRPr="00EE4197">
        <w:rPr>
          <w:color w:val="000000" w:themeColor="text1"/>
          <w:sz w:val="20"/>
          <w:szCs w:val="20"/>
        </w:rPr>
        <w:t>.</w:t>
      </w:r>
      <w:r w:rsidR="00C942DC" w:rsidRPr="00EE4197">
        <w:rPr>
          <w:color w:val="000000" w:themeColor="text1"/>
          <w:sz w:val="20"/>
          <w:szCs w:val="20"/>
        </w:rPr>
        <w:tab/>
      </w:r>
      <w:r w:rsidR="002A5545">
        <w:rPr>
          <w:color w:val="000000" w:themeColor="text1"/>
          <w:sz w:val="20"/>
          <w:szCs w:val="20"/>
        </w:rPr>
        <w:t>A</w:t>
      </w:r>
      <w:r w:rsidR="00BC7E5F" w:rsidRPr="00EE4197">
        <w:rPr>
          <w:color w:val="000000" w:themeColor="text1"/>
          <w:sz w:val="20"/>
          <w:szCs w:val="20"/>
        </w:rPr>
        <w:t xml:space="preserve"> </w:t>
      </w:r>
      <w:r w:rsidR="003C3A32" w:rsidRPr="00EE4197">
        <w:rPr>
          <w:color w:val="000000" w:themeColor="text1"/>
          <w:sz w:val="20"/>
          <w:szCs w:val="20"/>
        </w:rPr>
        <w:t xml:space="preserve">legible </w:t>
      </w:r>
      <w:r w:rsidR="002A5545">
        <w:rPr>
          <w:color w:val="000000" w:themeColor="text1"/>
          <w:sz w:val="20"/>
          <w:szCs w:val="20"/>
        </w:rPr>
        <w:t xml:space="preserve">vicinity </w:t>
      </w:r>
      <w:r w:rsidR="00BC7E5F" w:rsidRPr="00EE4197">
        <w:rPr>
          <w:color w:val="000000" w:themeColor="text1"/>
          <w:sz w:val="20"/>
          <w:szCs w:val="20"/>
        </w:rPr>
        <w:t>map</w:t>
      </w:r>
      <w:r w:rsidR="002A5545">
        <w:rPr>
          <w:color w:val="000000" w:themeColor="text1"/>
          <w:sz w:val="20"/>
          <w:szCs w:val="20"/>
        </w:rPr>
        <w:t xml:space="preserve"> should</w:t>
      </w:r>
      <w:r w:rsidR="00BC7E5F" w:rsidRPr="00EE4197">
        <w:rPr>
          <w:color w:val="000000" w:themeColor="text1"/>
          <w:sz w:val="20"/>
          <w:szCs w:val="20"/>
        </w:rPr>
        <w:t xml:space="preserve"> be included</w:t>
      </w:r>
      <w:r w:rsidR="003C3A32" w:rsidRPr="00EE4197">
        <w:rPr>
          <w:color w:val="000000" w:themeColor="text1"/>
          <w:sz w:val="20"/>
          <w:szCs w:val="20"/>
        </w:rPr>
        <w:t xml:space="preserve">, </w:t>
      </w:r>
      <w:r w:rsidR="00D53F83" w:rsidRPr="00EE4197">
        <w:rPr>
          <w:color w:val="000000" w:themeColor="text1"/>
          <w:sz w:val="20"/>
          <w:szCs w:val="20"/>
        </w:rPr>
        <w:t>that</w:t>
      </w:r>
      <w:r w:rsidR="003C3A32" w:rsidRPr="00EE4197">
        <w:rPr>
          <w:color w:val="000000" w:themeColor="text1"/>
          <w:sz w:val="20"/>
          <w:szCs w:val="20"/>
        </w:rPr>
        <w:t xml:space="preserve"> </w:t>
      </w:r>
      <w:r w:rsidR="00D235DB" w:rsidRPr="00EE4197">
        <w:rPr>
          <w:color w:val="000000" w:themeColor="text1"/>
          <w:sz w:val="20"/>
          <w:szCs w:val="20"/>
        </w:rPr>
        <w:t>identifies the</w:t>
      </w:r>
      <w:r w:rsidR="00BC7E5F" w:rsidRPr="00EE4197">
        <w:rPr>
          <w:color w:val="000000" w:themeColor="text1"/>
          <w:sz w:val="20"/>
          <w:szCs w:val="20"/>
        </w:rPr>
        <w:t xml:space="preserve"> proposed TPOC line</w:t>
      </w:r>
      <w:r w:rsidR="004C3790" w:rsidRPr="00EE4197">
        <w:rPr>
          <w:color w:val="000000" w:themeColor="text1"/>
          <w:sz w:val="20"/>
          <w:szCs w:val="20"/>
        </w:rPr>
        <w:t xml:space="preserve"> and contains</w:t>
      </w:r>
      <w:r w:rsidR="00BC7E5F" w:rsidRPr="00EE4197">
        <w:rPr>
          <w:color w:val="000000" w:themeColor="text1"/>
          <w:sz w:val="20"/>
          <w:szCs w:val="20"/>
        </w:rPr>
        <w:t xml:space="preserve"> street names or area landmarks </w:t>
      </w:r>
      <w:r w:rsidR="004C3790" w:rsidRPr="00EE4197">
        <w:rPr>
          <w:color w:val="000000" w:themeColor="text1"/>
          <w:sz w:val="20"/>
          <w:szCs w:val="20"/>
        </w:rPr>
        <w:t xml:space="preserve">that </w:t>
      </w:r>
      <w:r w:rsidR="00BC7E5F" w:rsidRPr="00EE4197">
        <w:rPr>
          <w:color w:val="000000" w:themeColor="text1"/>
          <w:sz w:val="20"/>
          <w:szCs w:val="20"/>
        </w:rPr>
        <w:t xml:space="preserve">allow the recipient to identify the area included </w:t>
      </w:r>
      <w:r w:rsidR="0031600A" w:rsidRPr="00EE4197">
        <w:rPr>
          <w:color w:val="000000" w:themeColor="text1"/>
          <w:sz w:val="20"/>
          <w:szCs w:val="20"/>
        </w:rPr>
        <w:t>in</w:t>
      </w:r>
      <w:r w:rsidR="00BC7E5F" w:rsidRPr="00EE4197">
        <w:rPr>
          <w:color w:val="000000" w:themeColor="text1"/>
          <w:sz w:val="20"/>
          <w:szCs w:val="20"/>
        </w:rPr>
        <w:t xml:space="preserve"> the proposed TPOC action.</w:t>
      </w:r>
      <w:r w:rsidR="00FA749E">
        <w:rPr>
          <w:color w:val="000000" w:themeColor="text1"/>
          <w:sz w:val="20"/>
          <w:szCs w:val="20"/>
        </w:rPr>
        <w:t xml:space="preserve"> </w:t>
      </w:r>
      <w:r w:rsidR="00BC7E5F" w:rsidRPr="00EE4197">
        <w:rPr>
          <w:color w:val="000000" w:themeColor="text1"/>
          <w:sz w:val="20"/>
          <w:szCs w:val="20"/>
        </w:rPr>
        <w:t xml:space="preserve">The </w:t>
      </w:r>
      <w:r w:rsidR="002A5545">
        <w:rPr>
          <w:color w:val="000000" w:themeColor="text1"/>
          <w:sz w:val="20"/>
          <w:szCs w:val="20"/>
        </w:rPr>
        <w:t xml:space="preserve">vicinity </w:t>
      </w:r>
      <w:r w:rsidR="00BC7E5F" w:rsidRPr="00EE4197">
        <w:rPr>
          <w:color w:val="000000" w:themeColor="text1"/>
          <w:sz w:val="20"/>
          <w:szCs w:val="20"/>
        </w:rPr>
        <w:t xml:space="preserve">map should be legible enough for </w:t>
      </w:r>
      <w:r w:rsidR="00D53F83" w:rsidRPr="00EE4197">
        <w:rPr>
          <w:color w:val="000000" w:themeColor="text1"/>
          <w:sz w:val="20"/>
          <w:szCs w:val="20"/>
        </w:rPr>
        <w:t xml:space="preserve">someone </w:t>
      </w:r>
      <w:r w:rsidR="00BC7E5F" w:rsidRPr="00EE4197">
        <w:rPr>
          <w:color w:val="000000" w:themeColor="text1"/>
          <w:sz w:val="20"/>
          <w:szCs w:val="20"/>
        </w:rPr>
        <w:t>to see the area of contamination addressed by the TPOC, but not necessarily every detail of what part of every parcel is affected.</w:t>
      </w:r>
      <w:r w:rsidR="00FA749E">
        <w:rPr>
          <w:color w:val="000000" w:themeColor="text1"/>
          <w:sz w:val="20"/>
          <w:szCs w:val="20"/>
        </w:rPr>
        <w:t xml:space="preserve"> </w:t>
      </w:r>
      <w:r w:rsidR="002A5545">
        <w:rPr>
          <w:sz w:val="20"/>
          <w:szCs w:val="20"/>
        </w:rPr>
        <w:t xml:space="preserve">A new vicinity map may need to be created to fit the appropriate medium and still be legible. </w:t>
      </w:r>
      <w:r w:rsidR="002A5545" w:rsidRPr="00EE4197">
        <w:rPr>
          <w:sz w:val="20"/>
          <w:szCs w:val="20"/>
        </w:rPr>
        <w:t xml:space="preserve">The list of addresses ensures that adequate notice </w:t>
      </w:r>
      <w:r w:rsidR="002A5545">
        <w:rPr>
          <w:sz w:val="20"/>
          <w:szCs w:val="20"/>
        </w:rPr>
        <w:t xml:space="preserve">was provided if </w:t>
      </w:r>
      <w:r w:rsidR="002A5545" w:rsidRPr="00EE4197">
        <w:rPr>
          <w:sz w:val="20"/>
          <w:szCs w:val="20"/>
        </w:rPr>
        <w:t xml:space="preserve">the </w:t>
      </w:r>
      <w:r w:rsidR="002A5545">
        <w:rPr>
          <w:sz w:val="20"/>
          <w:szCs w:val="20"/>
        </w:rPr>
        <w:t xml:space="preserve">vicinity </w:t>
      </w:r>
      <w:r w:rsidR="002A5545" w:rsidRPr="00EE4197">
        <w:rPr>
          <w:sz w:val="20"/>
          <w:szCs w:val="20"/>
        </w:rPr>
        <w:t>map was not legible or because the reader could not interpret the map.</w:t>
      </w:r>
    </w:p>
    <w:p w14:paraId="409E06D5" w14:textId="77777777" w:rsidR="00C24F4E" w:rsidRPr="00EE4197" w:rsidRDefault="00C24F4E" w:rsidP="009413B6">
      <w:pPr>
        <w:spacing w:after="0" w:line="240" w:lineRule="atLeast"/>
        <w:ind w:left="1440" w:right="-61" w:hanging="360"/>
        <w:rPr>
          <w:sz w:val="20"/>
          <w:szCs w:val="20"/>
        </w:rPr>
      </w:pPr>
    </w:p>
    <w:p w14:paraId="00429B14" w14:textId="5CF234A5" w:rsidR="00C24F4E" w:rsidRPr="00EE4197" w:rsidRDefault="00C24F4E" w:rsidP="00C93CA0">
      <w:pPr>
        <w:spacing w:after="120" w:line="240" w:lineRule="auto"/>
        <w:ind w:left="720" w:right="-61" w:hanging="360"/>
        <w:rPr>
          <w:sz w:val="20"/>
          <w:szCs w:val="20"/>
        </w:rPr>
      </w:pPr>
      <w:r w:rsidRPr="00EE4197">
        <w:rPr>
          <w:sz w:val="20"/>
          <w:szCs w:val="20"/>
        </w:rPr>
        <w:t>3.</w:t>
      </w:r>
      <w:r w:rsidRPr="00EE4197">
        <w:rPr>
          <w:sz w:val="20"/>
          <w:szCs w:val="20"/>
        </w:rPr>
        <w:tab/>
        <w:t>Proof of Notice</w:t>
      </w:r>
    </w:p>
    <w:p w14:paraId="4C2E6EBD" w14:textId="40EBB2B0" w:rsidR="00F32E49" w:rsidRPr="00EE4197" w:rsidRDefault="00C24F4E" w:rsidP="00C93CA0">
      <w:pPr>
        <w:spacing w:after="120" w:line="240" w:lineRule="auto"/>
        <w:ind w:left="1080" w:right="-151" w:hanging="360"/>
        <w:rPr>
          <w:sz w:val="20"/>
          <w:szCs w:val="20"/>
        </w:rPr>
      </w:pPr>
      <w:r w:rsidRPr="00EE4197">
        <w:rPr>
          <w:sz w:val="20"/>
          <w:szCs w:val="20"/>
        </w:rPr>
        <w:t>A</w:t>
      </w:r>
      <w:r w:rsidR="009413B6" w:rsidRPr="00EE4197">
        <w:rPr>
          <w:sz w:val="20"/>
          <w:szCs w:val="20"/>
        </w:rPr>
        <w:t>.</w:t>
      </w:r>
      <w:r w:rsidR="009413B6" w:rsidRPr="00EE4197">
        <w:rPr>
          <w:sz w:val="20"/>
          <w:szCs w:val="20"/>
        </w:rPr>
        <w:tab/>
      </w:r>
      <w:r w:rsidR="00D14214" w:rsidRPr="00EE4197">
        <w:rPr>
          <w:sz w:val="20"/>
          <w:szCs w:val="20"/>
        </w:rPr>
        <w:t>T</w:t>
      </w:r>
      <w:r w:rsidR="009413B6" w:rsidRPr="00EE4197">
        <w:rPr>
          <w:sz w:val="20"/>
          <w:szCs w:val="20"/>
        </w:rPr>
        <w:t xml:space="preserve">he PRSR </w:t>
      </w:r>
      <w:r w:rsidR="000B04DD" w:rsidRPr="00EE4197">
        <w:rPr>
          <w:sz w:val="20"/>
          <w:szCs w:val="20"/>
        </w:rPr>
        <w:t>shall</w:t>
      </w:r>
      <w:r w:rsidR="009413B6" w:rsidRPr="00EE4197">
        <w:rPr>
          <w:sz w:val="20"/>
          <w:szCs w:val="20"/>
        </w:rPr>
        <w:t xml:space="preserve"> </w:t>
      </w:r>
      <w:r w:rsidR="00D235DB" w:rsidRPr="00EE4197">
        <w:rPr>
          <w:sz w:val="20"/>
          <w:szCs w:val="20"/>
        </w:rPr>
        <w:t xml:space="preserve">provide </w:t>
      </w:r>
      <w:r w:rsidR="002A5545">
        <w:rPr>
          <w:sz w:val="20"/>
          <w:szCs w:val="20"/>
        </w:rPr>
        <w:t>FDEP with</w:t>
      </w:r>
      <w:r w:rsidR="009413B6" w:rsidRPr="00EE4197">
        <w:rPr>
          <w:sz w:val="20"/>
          <w:szCs w:val="20"/>
        </w:rPr>
        <w:t xml:space="preserve"> a copy of the notice letter that was sent to each propert</w:t>
      </w:r>
      <w:r w:rsidR="00D05FD5" w:rsidRPr="00EE4197">
        <w:rPr>
          <w:sz w:val="20"/>
          <w:szCs w:val="20"/>
        </w:rPr>
        <w:t>y owner and local government.</w:t>
      </w:r>
      <w:r w:rsidR="00FA749E">
        <w:rPr>
          <w:sz w:val="20"/>
          <w:szCs w:val="20"/>
        </w:rPr>
        <w:t xml:space="preserve"> </w:t>
      </w:r>
      <w:r w:rsidR="00D05FD5" w:rsidRPr="00EE4197">
        <w:rPr>
          <w:sz w:val="20"/>
          <w:szCs w:val="20"/>
        </w:rPr>
        <w:t>The</w:t>
      </w:r>
      <w:r w:rsidR="009413B6" w:rsidRPr="00EE4197">
        <w:rPr>
          <w:sz w:val="20"/>
          <w:szCs w:val="20"/>
        </w:rPr>
        <w:t xml:space="preserve"> PRSR can provide one copy of the “generic letter” that was sent</w:t>
      </w:r>
      <w:r w:rsidR="00D05FD5" w:rsidRPr="00EE4197">
        <w:rPr>
          <w:sz w:val="20"/>
          <w:szCs w:val="20"/>
        </w:rPr>
        <w:t>,</w:t>
      </w:r>
      <w:r w:rsidR="009413B6" w:rsidRPr="00EE4197">
        <w:rPr>
          <w:sz w:val="20"/>
          <w:szCs w:val="20"/>
        </w:rPr>
        <w:t xml:space="preserve"> along with a list of addressees to whom it was </w:t>
      </w:r>
      <w:r w:rsidR="008921EC">
        <w:rPr>
          <w:sz w:val="20"/>
          <w:szCs w:val="20"/>
        </w:rPr>
        <w:t>sent via</w:t>
      </w:r>
      <w:r w:rsidR="008921EC" w:rsidRPr="00EE4197">
        <w:rPr>
          <w:sz w:val="20"/>
          <w:szCs w:val="20"/>
        </w:rPr>
        <w:t xml:space="preserve"> </w:t>
      </w:r>
      <w:r w:rsidR="000B04DD" w:rsidRPr="00EE4197">
        <w:rPr>
          <w:sz w:val="20"/>
          <w:szCs w:val="20"/>
        </w:rPr>
        <w:t>certified</w:t>
      </w:r>
      <w:r w:rsidR="008921EC">
        <w:rPr>
          <w:sz w:val="20"/>
          <w:szCs w:val="20"/>
        </w:rPr>
        <w:t>/confirmed mail</w:t>
      </w:r>
      <w:r w:rsidR="009413B6" w:rsidRPr="00EE4197">
        <w:rPr>
          <w:sz w:val="20"/>
          <w:szCs w:val="20"/>
        </w:rPr>
        <w:t xml:space="preserve"> and the date each addressee received the letter base</w:t>
      </w:r>
      <w:r w:rsidR="00D05FD5" w:rsidRPr="00EE4197">
        <w:rPr>
          <w:sz w:val="20"/>
          <w:szCs w:val="20"/>
        </w:rPr>
        <w:t>d on the green card</w:t>
      </w:r>
      <w:r w:rsidR="00D32453">
        <w:rPr>
          <w:sz w:val="20"/>
          <w:szCs w:val="20"/>
        </w:rPr>
        <w:t>/confirmation</w:t>
      </w:r>
      <w:r w:rsidR="00DB4ABA" w:rsidRPr="00EE4197">
        <w:rPr>
          <w:sz w:val="20"/>
          <w:szCs w:val="20"/>
        </w:rPr>
        <w:t xml:space="preserve"> receipt.</w:t>
      </w:r>
      <w:r w:rsidR="00FA749E">
        <w:rPr>
          <w:sz w:val="20"/>
          <w:szCs w:val="20"/>
        </w:rPr>
        <w:t xml:space="preserve"> </w:t>
      </w:r>
      <w:r w:rsidR="009413B6" w:rsidRPr="00EE4197">
        <w:rPr>
          <w:sz w:val="20"/>
          <w:szCs w:val="20"/>
        </w:rPr>
        <w:t>The current</w:t>
      </w:r>
      <w:r w:rsidR="00F32E49" w:rsidRPr="00EE4197">
        <w:rPr>
          <w:sz w:val="20"/>
          <w:szCs w:val="20"/>
        </w:rPr>
        <w:t xml:space="preserve"> rule does not require that the PRSR</w:t>
      </w:r>
      <w:r w:rsidR="009413B6" w:rsidRPr="00EE4197">
        <w:rPr>
          <w:sz w:val="20"/>
          <w:szCs w:val="20"/>
        </w:rPr>
        <w:t xml:space="preserve"> provide </w:t>
      </w:r>
      <w:r w:rsidR="002A5545">
        <w:rPr>
          <w:sz w:val="20"/>
          <w:szCs w:val="20"/>
        </w:rPr>
        <w:t>FDEP</w:t>
      </w:r>
      <w:r w:rsidR="00D05FD5" w:rsidRPr="00EE4197">
        <w:rPr>
          <w:sz w:val="20"/>
          <w:szCs w:val="20"/>
        </w:rPr>
        <w:t xml:space="preserve"> with copies of the </w:t>
      </w:r>
      <w:r w:rsidR="009413B6" w:rsidRPr="00EE4197">
        <w:rPr>
          <w:sz w:val="20"/>
          <w:szCs w:val="20"/>
        </w:rPr>
        <w:t xml:space="preserve">receipt, but if the PRSR would like to give </w:t>
      </w:r>
      <w:r w:rsidR="002A5545">
        <w:rPr>
          <w:sz w:val="20"/>
          <w:szCs w:val="20"/>
        </w:rPr>
        <w:t>FDEP</w:t>
      </w:r>
      <w:r w:rsidR="002A5545" w:rsidRPr="00EE4197">
        <w:rPr>
          <w:sz w:val="20"/>
          <w:szCs w:val="20"/>
        </w:rPr>
        <w:t xml:space="preserve"> </w:t>
      </w:r>
      <w:r w:rsidR="009413B6" w:rsidRPr="00EE4197">
        <w:rPr>
          <w:sz w:val="20"/>
          <w:szCs w:val="20"/>
        </w:rPr>
        <w:t xml:space="preserve">copies as proof of mailing </w:t>
      </w:r>
      <w:r w:rsidR="002A5545">
        <w:rPr>
          <w:sz w:val="20"/>
          <w:szCs w:val="20"/>
        </w:rPr>
        <w:t>they</w:t>
      </w:r>
      <w:r w:rsidR="002A5545" w:rsidRPr="00EE4197">
        <w:rPr>
          <w:sz w:val="20"/>
          <w:szCs w:val="20"/>
        </w:rPr>
        <w:t xml:space="preserve"> </w:t>
      </w:r>
      <w:r w:rsidR="009413B6" w:rsidRPr="00EE4197">
        <w:rPr>
          <w:sz w:val="20"/>
          <w:szCs w:val="20"/>
        </w:rPr>
        <w:t xml:space="preserve">can </w:t>
      </w:r>
      <w:r w:rsidR="002A5545">
        <w:rPr>
          <w:sz w:val="20"/>
          <w:szCs w:val="20"/>
        </w:rPr>
        <w:t xml:space="preserve">be </w:t>
      </w:r>
      <w:r w:rsidR="009413B6" w:rsidRPr="00EE4197">
        <w:rPr>
          <w:sz w:val="20"/>
          <w:szCs w:val="20"/>
        </w:rPr>
        <w:t>add</w:t>
      </w:r>
      <w:r w:rsidR="002A5545">
        <w:rPr>
          <w:sz w:val="20"/>
          <w:szCs w:val="20"/>
        </w:rPr>
        <w:t>ed</w:t>
      </w:r>
      <w:r w:rsidR="009413B6" w:rsidRPr="00EE4197">
        <w:rPr>
          <w:sz w:val="20"/>
          <w:szCs w:val="20"/>
        </w:rPr>
        <w:t xml:space="preserve"> </w:t>
      </w:r>
      <w:r w:rsidR="002A5545">
        <w:rPr>
          <w:sz w:val="20"/>
          <w:szCs w:val="20"/>
        </w:rPr>
        <w:t xml:space="preserve">to the site file. </w:t>
      </w:r>
      <w:r w:rsidR="00FA749E">
        <w:rPr>
          <w:sz w:val="20"/>
          <w:szCs w:val="20"/>
        </w:rPr>
        <w:t xml:space="preserve"> </w:t>
      </w:r>
    </w:p>
    <w:p w14:paraId="3D275AAA" w14:textId="3E9F8F9B" w:rsidR="00F32E49" w:rsidRPr="00EE4197" w:rsidRDefault="00D14214" w:rsidP="00C93CA0">
      <w:pPr>
        <w:spacing w:after="60" w:line="240" w:lineRule="auto"/>
        <w:ind w:left="1440" w:right="-61" w:hanging="360"/>
        <w:rPr>
          <w:sz w:val="20"/>
          <w:szCs w:val="20"/>
        </w:rPr>
      </w:pPr>
      <w:r w:rsidRPr="00EE4197">
        <w:rPr>
          <w:sz w:val="20"/>
          <w:szCs w:val="20"/>
        </w:rPr>
        <w:t>•</w:t>
      </w:r>
      <w:r w:rsidR="00DB4ABA" w:rsidRPr="00EE4197">
        <w:rPr>
          <w:sz w:val="20"/>
          <w:szCs w:val="20"/>
        </w:rPr>
        <w:tab/>
      </w:r>
      <w:r w:rsidR="009413B6" w:rsidRPr="00EE4197">
        <w:rPr>
          <w:sz w:val="20"/>
          <w:szCs w:val="20"/>
        </w:rPr>
        <w:t>If a notice letter is refused, that is noted on the green card</w:t>
      </w:r>
      <w:r w:rsidR="00D32453">
        <w:rPr>
          <w:sz w:val="20"/>
          <w:szCs w:val="20"/>
        </w:rPr>
        <w:t>/confirmation</w:t>
      </w:r>
      <w:r w:rsidR="009413B6" w:rsidRPr="00EE4197">
        <w:rPr>
          <w:sz w:val="20"/>
          <w:szCs w:val="20"/>
        </w:rPr>
        <w:t xml:space="preserve"> and it is returned to sender.</w:t>
      </w:r>
      <w:r w:rsidR="00FA749E">
        <w:rPr>
          <w:sz w:val="20"/>
          <w:szCs w:val="20"/>
        </w:rPr>
        <w:t xml:space="preserve"> </w:t>
      </w:r>
      <w:r w:rsidR="009413B6" w:rsidRPr="00EE4197">
        <w:rPr>
          <w:sz w:val="20"/>
          <w:szCs w:val="20"/>
        </w:rPr>
        <w:t xml:space="preserve">If the PRSR is concerned about this and wants it noted in the file, they can give </w:t>
      </w:r>
      <w:r w:rsidR="002A5545">
        <w:rPr>
          <w:sz w:val="20"/>
          <w:szCs w:val="20"/>
        </w:rPr>
        <w:t>FDEP</w:t>
      </w:r>
      <w:r w:rsidR="002A5545" w:rsidRPr="00EE4197">
        <w:rPr>
          <w:sz w:val="20"/>
          <w:szCs w:val="20"/>
        </w:rPr>
        <w:t xml:space="preserve"> </w:t>
      </w:r>
      <w:r w:rsidR="009413B6" w:rsidRPr="00EE4197">
        <w:rPr>
          <w:sz w:val="20"/>
          <w:szCs w:val="20"/>
        </w:rPr>
        <w:t>a copy as proof that they at least attempted to notify the affected parties.</w:t>
      </w:r>
      <w:r w:rsidR="00FA749E">
        <w:rPr>
          <w:sz w:val="20"/>
          <w:szCs w:val="20"/>
        </w:rPr>
        <w:t xml:space="preserve"> </w:t>
      </w:r>
    </w:p>
    <w:p w14:paraId="61D03833" w14:textId="6C253DBF" w:rsidR="00F32E49" w:rsidRPr="00EE4197" w:rsidRDefault="00D14214" w:rsidP="00C93CA0">
      <w:pPr>
        <w:spacing w:after="60" w:line="240" w:lineRule="auto"/>
        <w:ind w:left="1440" w:right="-61" w:hanging="360"/>
        <w:rPr>
          <w:sz w:val="20"/>
          <w:szCs w:val="20"/>
        </w:rPr>
      </w:pPr>
      <w:r w:rsidRPr="00EE4197">
        <w:rPr>
          <w:sz w:val="20"/>
          <w:szCs w:val="20"/>
        </w:rPr>
        <w:t>•</w:t>
      </w:r>
      <w:r w:rsidR="00DB4ABA" w:rsidRPr="00EE4197">
        <w:rPr>
          <w:sz w:val="20"/>
          <w:szCs w:val="20"/>
        </w:rPr>
        <w:tab/>
      </w:r>
      <w:r w:rsidR="009413B6" w:rsidRPr="00EE4197">
        <w:rPr>
          <w:sz w:val="20"/>
          <w:szCs w:val="20"/>
        </w:rPr>
        <w:t xml:space="preserve">Per the </w:t>
      </w:r>
      <w:r w:rsidR="002A5545">
        <w:rPr>
          <w:sz w:val="20"/>
          <w:szCs w:val="20"/>
        </w:rPr>
        <w:t>United States Postal Service (</w:t>
      </w:r>
      <w:r w:rsidR="009413B6" w:rsidRPr="00EE4197">
        <w:rPr>
          <w:sz w:val="20"/>
          <w:szCs w:val="20"/>
        </w:rPr>
        <w:t>USPS</w:t>
      </w:r>
      <w:r w:rsidR="002A5545">
        <w:rPr>
          <w:sz w:val="20"/>
          <w:szCs w:val="20"/>
        </w:rPr>
        <w:t>)</w:t>
      </w:r>
      <w:r w:rsidR="009413B6" w:rsidRPr="00EE4197">
        <w:rPr>
          <w:sz w:val="20"/>
          <w:szCs w:val="20"/>
        </w:rPr>
        <w:t xml:space="preserve">, if a letter sent </w:t>
      </w:r>
      <w:r w:rsidR="002A5545" w:rsidRPr="00EE4197">
        <w:rPr>
          <w:sz w:val="20"/>
          <w:szCs w:val="20"/>
        </w:rPr>
        <w:t>certified mail</w:t>
      </w:r>
      <w:r w:rsidR="002A5545">
        <w:rPr>
          <w:sz w:val="20"/>
          <w:szCs w:val="20"/>
        </w:rPr>
        <w:t xml:space="preserve"> with return receipt requested</w:t>
      </w:r>
      <w:r w:rsidR="002A5545" w:rsidRPr="00EE4197" w:rsidDel="002A5545">
        <w:rPr>
          <w:sz w:val="20"/>
          <w:szCs w:val="20"/>
        </w:rPr>
        <w:t xml:space="preserve"> </w:t>
      </w:r>
      <w:r w:rsidR="009413B6" w:rsidRPr="00EE4197">
        <w:rPr>
          <w:sz w:val="20"/>
          <w:szCs w:val="20"/>
        </w:rPr>
        <w:t xml:space="preserve">cannot be delivered because no one is </w:t>
      </w:r>
      <w:proofErr w:type="gramStart"/>
      <w:r w:rsidR="009413B6" w:rsidRPr="00EE4197">
        <w:rPr>
          <w:sz w:val="20"/>
          <w:szCs w:val="20"/>
        </w:rPr>
        <w:t>home</w:t>
      </w:r>
      <w:proofErr w:type="gramEnd"/>
      <w:r w:rsidR="009413B6" w:rsidRPr="00EE4197">
        <w:rPr>
          <w:sz w:val="20"/>
          <w:szCs w:val="20"/>
        </w:rPr>
        <w:t xml:space="preserve"> and no one comes to the post office to pick it up, then the letter is returned to sender after</w:t>
      </w:r>
      <w:r w:rsidR="00D05FD5" w:rsidRPr="00EE4197">
        <w:rPr>
          <w:sz w:val="20"/>
          <w:szCs w:val="20"/>
        </w:rPr>
        <w:t xml:space="preserve"> 15 days.</w:t>
      </w:r>
      <w:r w:rsidR="00FA749E">
        <w:rPr>
          <w:sz w:val="20"/>
          <w:szCs w:val="20"/>
        </w:rPr>
        <w:t xml:space="preserve"> </w:t>
      </w:r>
      <w:r w:rsidR="00D05FD5" w:rsidRPr="00EE4197">
        <w:rPr>
          <w:sz w:val="20"/>
          <w:szCs w:val="20"/>
        </w:rPr>
        <w:t>The green card and returned letter</w:t>
      </w:r>
      <w:r w:rsidR="009413B6" w:rsidRPr="00EE4197">
        <w:rPr>
          <w:sz w:val="20"/>
          <w:szCs w:val="20"/>
        </w:rPr>
        <w:t xml:space="preserve"> would be endorsed as “Unclaimed”; and</w:t>
      </w:r>
      <w:r w:rsidR="002A5545">
        <w:rPr>
          <w:sz w:val="20"/>
          <w:szCs w:val="20"/>
        </w:rPr>
        <w:t>,</w:t>
      </w:r>
      <w:r w:rsidR="009413B6" w:rsidRPr="00EE4197">
        <w:rPr>
          <w:sz w:val="20"/>
          <w:szCs w:val="20"/>
        </w:rPr>
        <w:t xml:space="preserve"> again, the PRSR could voluntarily provide </w:t>
      </w:r>
      <w:r w:rsidR="002A5545">
        <w:rPr>
          <w:sz w:val="20"/>
          <w:szCs w:val="20"/>
        </w:rPr>
        <w:t>FDEP with</w:t>
      </w:r>
      <w:r w:rsidR="002A5545" w:rsidRPr="00EE4197">
        <w:rPr>
          <w:sz w:val="20"/>
          <w:szCs w:val="20"/>
        </w:rPr>
        <w:t xml:space="preserve"> </w:t>
      </w:r>
      <w:r w:rsidR="009413B6" w:rsidRPr="00EE4197">
        <w:rPr>
          <w:sz w:val="20"/>
          <w:szCs w:val="20"/>
        </w:rPr>
        <w:t>a copy as proof that they attempted to provide notice to the property owner.</w:t>
      </w:r>
      <w:r w:rsidR="00FA749E">
        <w:rPr>
          <w:sz w:val="20"/>
          <w:szCs w:val="20"/>
        </w:rPr>
        <w:t xml:space="preserve"> </w:t>
      </w:r>
    </w:p>
    <w:p w14:paraId="4A20254D" w14:textId="6C3D0A4D" w:rsidR="00D05FD5" w:rsidRPr="00EE4197" w:rsidRDefault="00D14214" w:rsidP="00C93CA0">
      <w:pPr>
        <w:spacing w:after="60" w:line="240" w:lineRule="auto"/>
        <w:ind w:left="1440" w:right="29" w:hanging="360"/>
        <w:rPr>
          <w:sz w:val="20"/>
          <w:szCs w:val="20"/>
        </w:rPr>
      </w:pPr>
      <w:r w:rsidRPr="00EE4197">
        <w:rPr>
          <w:sz w:val="20"/>
          <w:szCs w:val="20"/>
        </w:rPr>
        <w:t>•</w:t>
      </w:r>
      <w:r w:rsidR="00DB4ABA" w:rsidRPr="00EE4197">
        <w:rPr>
          <w:sz w:val="20"/>
          <w:szCs w:val="20"/>
        </w:rPr>
        <w:tab/>
      </w:r>
      <w:r w:rsidR="009413B6" w:rsidRPr="00EE4197">
        <w:rPr>
          <w:sz w:val="20"/>
          <w:szCs w:val="20"/>
        </w:rPr>
        <w:t xml:space="preserve">If the notice letter is refused or unclaimed, and the PRSR wants to go above and beyond what is required and chooses to attempt “hand delivery,” they can also voluntarily provide </w:t>
      </w:r>
      <w:r w:rsidR="002A5545">
        <w:rPr>
          <w:sz w:val="20"/>
          <w:szCs w:val="20"/>
        </w:rPr>
        <w:t>FDEP</w:t>
      </w:r>
      <w:r w:rsidR="002A5545" w:rsidRPr="00EE4197">
        <w:rPr>
          <w:sz w:val="20"/>
          <w:szCs w:val="20"/>
        </w:rPr>
        <w:t xml:space="preserve"> </w:t>
      </w:r>
      <w:r w:rsidR="009413B6" w:rsidRPr="00EE4197">
        <w:rPr>
          <w:sz w:val="20"/>
          <w:szCs w:val="20"/>
        </w:rPr>
        <w:t>with a list of addresses to which letters were hand delivered, but this is not required.</w:t>
      </w:r>
    </w:p>
    <w:p w14:paraId="1E7E1C40" w14:textId="57B18EFF" w:rsidR="009413B6" w:rsidRPr="00EE4197" w:rsidRDefault="00D05FD5" w:rsidP="00C93CA0">
      <w:pPr>
        <w:spacing w:after="120" w:line="240" w:lineRule="auto"/>
        <w:ind w:left="1440" w:right="-61" w:hanging="360"/>
        <w:rPr>
          <w:sz w:val="20"/>
          <w:szCs w:val="20"/>
        </w:rPr>
      </w:pPr>
      <w:r w:rsidRPr="00EE4197">
        <w:rPr>
          <w:sz w:val="20"/>
          <w:szCs w:val="20"/>
        </w:rPr>
        <w:t>•</w:t>
      </w:r>
      <w:r w:rsidRPr="00EE4197">
        <w:rPr>
          <w:sz w:val="20"/>
          <w:szCs w:val="20"/>
        </w:rPr>
        <w:tab/>
        <w:t xml:space="preserve">If a PRSR documents the above efforts in a spreadsheet format, that would be </w:t>
      </w:r>
      <w:proofErr w:type="gramStart"/>
      <w:r w:rsidRPr="00EE4197">
        <w:rPr>
          <w:sz w:val="20"/>
          <w:szCs w:val="20"/>
        </w:rPr>
        <w:t>sufficient</w:t>
      </w:r>
      <w:proofErr w:type="gramEnd"/>
      <w:r w:rsidRPr="00EE4197">
        <w:rPr>
          <w:sz w:val="20"/>
          <w:szCs w:val="20"/>
        </w:rPr>
        <w:t xml:space="preserve"> to demonstrate compliance with the statute and rule.</w:t>
      </w:r>
      <w:r w:rsidR="00FA749E">
        <w:rPr>
          <w:sz w:val="20"/>
          <w:szCs w:val="20"/>
        </w:rPr>
        <w:t xml:space="preserve"> </w:t>
      </w:r>
    </w:p>
    <w:p w14:paraId="7A0F78CE" w14:textId="117E97C5" w:rsidR="00913800" w:rsidRDefault="00D14214" w:rsidP="00913800">
      <w:pPr>
        <w:spacing w:after="120" w:line="240" w:lineRule="auto"/>
        <w:ind w:left="1080" w:right="-61" w:hanging="370"/>
        <w:jc w:val="both"/>
        <w:rPr>
          <w:sz w:val="20"/>
          <w:szCs w:val="20"/>
        </w:rPr>
      </w:pPr>
      <w:r w:rsidRPr="00EE4197">
        <w:rPr>
          <w:sz w:val="20"/>
          <w:szCs w:val="20"/>
        </w:rPr>
        <w:t>B</w:t>
      </w:r>
      <w:r w:rsidR="00DB4ABA" w:rsidRPr="00EE4197">
        <w:rPr>
          <w:sz w:val="20"/>
          <w:szCs w:val="20"/>
        </w:rPr>
        <w:t>.</w:t>
      </w:r>
      <w:r w:rsidR="00DB4ABA" w:rsidRPr="00EE4197">
        <w:rPr>
          <w:sz w:val="20"/>
          <w:szCs w:val="20"/>
        </w:rPr>
        <w:tab/>
        <w:t xml:space="preserve">Proof of </w:t>
      </w:r>
      <w:r w:rsidRPr="00EE4197">
        <w:rPr>
          <w:sz w:val="20"/>
          <w:szCs w:val="20"/>
        </w:rPr>
        <w:t xml:space="preserve">notice </w:t>
      </w:r>
      <w:r w:rsidR="00DB4ABA" w:rsidRPr="00EE4197">
        <w:rPr>
          <w:sz w:val="20"/>
          <w:szCs w:val="20"/>
        </w:rPr>
        <w:t xml:space="preserve">publication </w:t>
      </w:r>
      <w:r w:rsidR="00FF7557" w:rsidRPr="00EE4197">
        <w:rPr>
          <w:sz w:val="20"/>
          <w:szCs w:val="20"/>
        </w:rPr>
        <w:t>should be</w:t>
      </w:r>
      <w:r w:rsidR="00DB4ABA" w:rsidRPr="00EE4197">
        <w:rPr>
          <w:sz w:val="20"/>
          <w:szCs w:val="20"/>
        </w:rPr>
        <w:t xml:space="preserve"> sent to </w:t>
      </w:r>
      <w:r w:rsidR="002A5545">
        <w:rPr>
          <w:sz w:val="20"/>
          <w:szCs w:val="20"/>
        </w:rPr>
        <w:t xml:space="preserve">FDEP </w:t>
      </w:r>
      <w:r w:rsidR="00DB4ABA" w:rsidRPr="00EE4197">
        <w:rPr>
          <w:sz w:val="20"/>
          <w:szCs w:val="20"/>
        </w:rPr>
        <w:t>within 7 days after publication.</w:t>
      </w:r>
    </w:p>
    <w:p w14:paraId="40912AF8" w14:textId="77777777" w:rsidR="00913800" w:rsidRDefault="00913800">
      <w:pPr>
        <w:rPr>
          <w:sz w:val="20"/>
          <w:szCs w:val="20"/>
        </w:rPr>
      </w:pPr>
      <w:r>
        <w:rPr>
          <w:sz w:val="20"/>
          <w:szCs w:val="20"/>
        </w:rPr>
        <w:br w:type="page"/>
      </w:r>
    </w:p>
    <w:p w14:paraId="511AF039" w14:textId="77777777" w:rsidR="00D14214" w:rsidRPr="00EE4197" w:rsidRDefault="00D14214" w:rsidP="00913800">
      <w:pPr>
        <w:spacing w:after="120" w:line="240" w:lineRule="auto"/>
        <w:ind w:left="1080" w:right="-61" w:hanging="370"/>
        <w:jc w:val="both"/>
        <w:rPr>
          <w:sz w:val="20"/>
          <w:szCs w:val="20"/>
        </w:rPr>
        <w:sectPr w:rsidR="00D14214" w:rsidRPr="00EE4197" w:rsidSect="00EB0318">
          <w:headerReference w:type="default" r:id="rId11"/>
          <w:pgSz w:w="12240" w:h="15840"/>
          <w:pgMar w:top="1440" w:right="1440" w:bottom="1440" w:left="1501" w:header="720" w:footer="720" w:gutter="0"/>
          <w:cols w:space="720"/>
          <w:docGrid w:linePitch="360"/>
        </w:sectPr>
      </w:pPr>
    </w:p>
    <w:p w14:paraId="33A0C41C" w14:textId="1A95E85F" w:rsidR="009805F4" w:rsidRPr="001426AD" w:rsidRDefault="008632BD" w:rsidP="009805F4">
      <w:pPr>
        <w:spacing w:after="0" w:line="240" w:lineRule="auto"/>
        <w:rPr>
          <w:rFonts w:eastAsia="Times New Roman" w:cs="Times New Roman"/>
          <w:b/>
          <w:sz w:val="24"/>
          <w:szCs w:val="24"/>
        </w:rPr>
      </w:pPr>
      <w:r w:rsidRPr="001426AD">
        <w:rPr>
          <w:rFonts w:eastAsia="Times New Roman" w:cs="Arial"/>
          <w:b/>
          <w:sz w:val="24"/>
          <w:szCs w:val="24"/>
        </w:rPr>
        <w:lastRenderedPageBreak/>
        <w:t>C</w:t>
      </w:r>
      <w:r w:rsidR="009805F4" w:rsidRPr="001426AD">
        <w:rPr>
          <w:rFonts w:eastAsia="Times New Roman" w:cs="Arial"/>
          <w:b/>
          <w:sz w:val="24"/>
          <w:szCs w:val="24"/>
        </w:rPr>
        <w:t xml:space="preserve">ERTIFIED MAIL </w:t>
      </w:r>
      <w:r w:rsidR="009805F4" w:rsidRPr="001426AD">
        <w:rPr>
          <w:rFonts w:eastAsia="Times New Roman" w:cs="Times New Roman"/>
          <w:b/>
          <w:sz w:val="24"/>
          <w:szCs w:val="24"/>
        </w:rPr>
        <w:t xml:space="preserve"># </w:t>
      </w:r>
      <w:r w:rsidR="009805F4" w:rsidRPr="001426AD">
        <w:rPr>
          <w:rFonts w:eastAsia="Times New Roman" w:cs="Times New Roman"/>
          <w:b/>
          <w:color w:val="0000FF"/>
          <w:sz w:val="24"/>
          <w:szCs w:val="24"/>
        </w:rPr>
        <w:t>{</w:t>
      </w:r>
      <w:proofErr w:type="spellStart"/>
      <w:r w:rsidR="009805F4" w:rsidRPr="001426AD">
        <w:rPr>
          <w:rFonts w:eastAsia="Times New Roman" w:cs="Times New Roman"/>
          <w:b/>
          <w:color w:val="0000FF"/>
          <w:sz w:val="24"/>
          <w:szCs w:val="24"/>
        </w:rPr>
        <w:t>xxxx</w:t>
      </w:r>
      <w:proofErr w:type="spellEnd"/>
      <w:r w:rsidR="009805F4" w:rsidRPr="001426AD">
        <w:rPr>
          <w:rFonts w:eastAsia="Times New Roman" w:cs="Times New Roman"/>
          <w:b/>
          <w:color w:val="0000FF"/>
          <w:sz w:val="24"/>
          <w:szCs w:val="24"/>
        </w:rPr>
        <w:t xml:space="preserve"> </w:t>
      </w:r>
      <w:proofErr w:type="spellStart"/>
      <w:r w:rsidR="009805F4" w:rsidRPr="001426AD">
        <w:rPr>
          <w:rFonts w:eastAsia="Times New Roman" w:cs="Times New Roman"/>
          <w:b/>
          <w:color w:val="0000FF"/>
          <w:sz w:val="24"/>
          <w:szCs w:val="24"/>
        </w:rPr>
        <w:t>xxxx</w:t>
      </w:r>
      <w:proofErr w:type="spellEnd"/>
      <w:r w:rsidR="009805F4" w:rsidRPr="001426AD">
        <w:rPr>
          <w:rFonts w:eastAsia="Times New Roman" w:cs="Times New Roman"/>
          <w:b/>
          <w:color w:val="0000FF"/>
          <w:sz w:val="24"/>
          <w:szCs w:val="24"/>
        </w:rPr>
        <w:t xml:space="preserve"> </w:t>
      </w:r>
      <w:proofErr w:type="spellStart"/>
      <w:r w:rsidR="009805F4" w:rsidRPr="001426AD">
        <w:rPr>
          <w:rFonts w:eastAsia="Times New Roman" w:cs="Times New Roman"/>
          <w:b/>
          <w:color w:val="0000FF"/>
          <w:sz w:val="24"/>
          <w:szCs w:val="24"/>
        </w:rPr>
        <w:t>xxxx</w:t>
      </w:r>
      <w:proofErr w:type="spellEnd"/>
      <w:r w:rsidR="009805F4" w:rsidRPr="001426AD">
        <w:rPr>
          <w:rFonts w:eastAsia="Times New Roman" w:cs="Times New Roman"/>
          <w:b/>
          <w:color w:val="0000FF"/>
          <w:sz w:val="24"/>
          <w:szCs w:val="24"/>
        </w:rPr>
        <w:t xml:space="preserve"> </w:t>
      </w:r>
      <w:proofErr w:type="spellStart"/>
      <w:r w:rsidR="009805F4" w:rsidRPr="001426AD">
        <w:rPr>
          <w:rFonts w:eastAsia="Times New Roman" w:cs="Times New Roman"/>
          <w:b/>
          <w:color w:val="0000FF"/>
          <w:sz w:val="24"/>
          <w:szCs w:val="24"/>
        </w:rPr>
        <w:t>xxxx</w:t>
      </w:r>
      <w:proofErr w:type="spellEnd"/>
      <w:r w:rsidR="009805F4" w:rsidRPr="001426AD">
        <w:rPr>
          <w:rFonts w:eastAsia="Times New Roman" w:cs="Times New Roman"/>
          <w:b/>
          <w:color w:val="0000FF"/>
          <w:sz w:val="24"/>
          <w:szCs w:val="24"/>
        </w:rPr>
        <w:t xml:space="preserve"> </w:t>
      </w:r>
      <w:proofErr w:type="spellStart"/>
      <w:r w:rsidR="009805F4" w:rsidRPr="001426AD">
        <w:rPr>
          <w:rFonts w:eastAsia="Times New Roman" w:cs="Times New Roman"/>
          <w:b/>
          <w:color w:val="0000FF"/>
          <w:sz w:val="24"/>
          <w:szCs w:val="24"/>
        </w:rPr>
        <w:t>xxxx</w:t>
      </w:r>
      <w:proofErr w:type="spellEnd"/>
      <w:r w:rsidR="009805F4" w:rsidRPr="001426AD">
        <w:rPr>
          <w:rFonts w:eastAsia="Times New Roman" w:cs="Times New Roman"/>
          <w:b/>
          <w:color w:val="0000FF"/>
          <w:sz w:val="24"/>
          <w:szCs w:val="24"/>
        </w:rPr>
        <w:t>}</w:t>
      </w:r>
    </w:p>
    <w:p w14:paraId="39903586" w14:textId="77777777" w:rsidR="009805F4" w:rsidRPr="001426AD" w:rsidRDefault="009805F4" w:rsidP="009805F4">
      <w:pPr>
        <w:spacing w:after="0" w:line="240" w:lineRule="auto"/>
        <w:rPr>
          <w:rFonts w:eastAsia="Times New Roman" w:cs="Arial"/>
          <w:b/>
          <w:sz w:val="24"/>
          <w:szCs w:val="24"/>
        </w:rPr>
      </w:pPr>
      <w:r w:rsidRPr="001426AD">
        <w:rPr>
          <w:rFonts w:eastAsia="Times New Roman" w:cs="Arial"/>
          <w:b/>
          <w:sz w:val="24"/>
          <w:szCs w:val="24"/>
          <w:u w:val="single"/>
        </w:rPr>
        <w:t>RETURN RECEIPT REQUESTED</w:t>
      </w:r>
    </w:p>
    <w:p w14:paraId="6C6216DD" w14:textId="77777777" w:rsidR="009805F4" w:rsidRPr="001426AD" w:rsidRDefault="009805F4" w:rsidP="009805F4">
      <w:pPr>
        <w:spacing w:after="0" w:line="240" w:lineRule="auto"/>
        <w:rPr>
          <w:rFonts w:eastAsia="Times New Roman" w:cs="Arial"/>
          <w:sz w:val="24"/>
          <w:szCs w:val="24"/>
        </w:rPr>
      </w:pPr>
    </w:p>
    <w:p w14:paraId="0A141D8A" w14:textId="77777777" w:rsidR="009805F4" w:rsidRPr="001426AD" w:rsidRDefault="009805F4" w:rsidP="009805F4">
      <w:pPr>
        <w:spacing w:after="0" w:line="240" w:lineRule="auto"/>
        <w:rPr>
          <w:rFonts w:eastAsia="Times New Roman" w:cs="Times New Roman"/>
          <w:color w:val="0000FF"/>
          <w:sz w:val="24"/>
          <w:szCs w:val="24"/>
        </w:rPr>
      </w:pPr>
      <w:r w:rsidRPr="001426AD">
        <w:rPr>
          <w:rFonts w:eastAsia="Times New Roman" w:cs="Times New Roman"/>
          <w:color w:val="0000FF"/>
          <w:sz w:val="24"/>
          <w:szCs w:val="24"/>
        </w:rPr>
        <w:t>[</w:t>
      </w:r>
      <w:r w:rsidRPr="001426AD">
        <w:rPr>
          <w:rFonts w:eastAsia="Times New Roman" w:cs="Times New Roman"/>
          <w:sz w:val="24"/>
          <w:szCs w:val="24"/>
        </w:rPr>
        <w:t>Mr.</w:t>
      </w:r>
      <w:r w:rsidRPr="001426AD">
        <w:rPr>
          <w:rFonts w:eastAsia="Times New Roman" w:cs="Times New Roman"/>
          <w:color w:val="0000FF"/>
          <w:sz w:val="24"/>
          <w:szCs w:val="24"/>
        </w:rPr>
        <w:t xml:space="preserve"> </w:t>
      </w:r>
      <w:r w:rsidRPr="001426AD">
        <w:rPr>
          <w:rFonts w:eastAsia="Times New Roman" w:cs="Times New Roman"/>
          <w:color w:val="FF0000"/>
          <w:sz w:val="24"/>
          <w:szCs w:val="24"/>
          <w:u w:val="single"/>
        </w:rPr>
        <w:t>or</w:t>
      </w:r>
      <w:r w:rsidRPr="001426AD">
        <w:rPr>
          <w:rFonts w:eastAsia="Times New Roman" w:cs="Times New Roman"/>
          <w:color w:val="0000FF"/>
          <w:sz w:val="24"/>
          <w:szCs w:val="24"/>
        </w:rPr>
        <w:t xml:space="preserve"> </w:t>
      </w:r>
      <w:proofErr w:type="spellStart"/>
      <w:r w:rsidRPr="001426AD">
        <w:rPr>
          <w:rFonts w:eastAsia="Times New Roman" w:cs="Times New Roman"/>
          <w:sz w:val="24"/>
          <w:szCs w:val="24"/>
        </w:rPr>
        <w:t>Ms</w:t>
      </w:r>
      <w:proofErr w:type="spellEnd"/>
      <w:r w:rsidRPr="001426AD">
        <w:rPr>
          <w:rFonts w:eastAsia="Times New Roman" w:cs="Times New Roman"/>
          <w:sz w:val="24"/>
          <w:szCs w:val="24"/>
        </w:rPr>
        <w:t>….</w:t>
      </w:r>
      <w:r w:rsidRPr="001426AD">
        <w:rPr>
          <w:rFonts w:eastAsia="Times New Roman" w:cs="Times New Roman"/>
          <w:color w:val="0000FF"/>
          <w:sz w:val="24"/>
          <w:szCs w:val="24"/>
        </w:rPr>
        <w:t>] {Off Property Owner’s Name}</w:t>
      </w:r>
    </w:p>
    <w:p w14:paraId="40BDF759" w14:textId="77777777" w:rsidR="009805F4" w:rsidRPr="001426AD" w:rsidRDefault="009805F4" w:rsidP="009805F4">
      <w:pPr>
        <w:spacing w:after="0" w:line="240" w:lineRule="auto"/>
        <w:rPr>
          <w:rFonts w:eastAsia="Times New Roman" w:cs="Times New Roman"/>
          <w:color w:val="0000FF"/>
          <w:sz w:val="24"/>
          <w:szCs w:val="24"/>
        </w:rPr>
      </w:pPr>
      <w:r w:rsidRPr="001426AD">
        <w:rPr>
          <w:rFonts w:eastAsia="Times New Roman" w:cs="Times New Roman"/>
          <w:color w:val="0000FF"/>
          <w:sz w:val="24"/>
          <w:szCs w:val="24"/>
        </w:rPr>
        <w:t>{Off Property Owner’s Company (if applicable)}</w:t>
      </w:r>
    </w:p>
    <w:p w14:paraId="52C6DE5C" w14:textId="77777777" w:rsidR="009805F4" w:rsidRPr="001426AD" w:rsidRDefault="009805F4" w:rsidP="009805F4">
      <w:pPr>
        <w:spacing w:after="0" w:line="240" w:lineRule="auto"/>
        <w:rPr>
          <w:rFonts w:eastAsia="Times New Roman" w:cs="Times New Roman"/>
          <w:color w:val="0000FF"/>
          <w:sz w:val="24"/>
          <w:szCs w:val="24"/>
        </w:rPr>
      </w:pPr>
      <w:r w:rsidRPr="001426AD">
        <w:rPr>
          <w:rFonts w:eastAsia="Times New Roman" w:cs="Times New Roman"/>
          <w:color w:val="0000FF"/>
          <w:sz w:val="24"/>
          <w:szCs w:val="24"/>
        </w:rPr>
        <w:t>{Off Property Owner’s Address}</w:t>
      </w:r>
    </w:p>
    <w:p w14:paraId="324D3EC6" w14:textId="77777777" w:rsidR="009805F4" w:rsidRPr="001426AD" w:rsidRDefault="009805F4" w:rsidP="009805F4">
      <w:pPr>
        <w:spacing w:after="0" w:line="240" w:lineRule="auto"/>
        <w:rPr>
          <w:rFonts w:eastAsia="Times New Roman" w:cs="Times New Roman"/>
          <w:color w:val="0000FF"/>
          <w:sz w:val="24"/>
          <w:szCs w:val="24"/>
        </w:rPr>
      </w:pPr>
      <w:r w:rsidRPr="001426AD">
        <w:rPr>
          <w:rFonts w:eastAsia="Times New Roman" w:cs="Times New Roman"/>
          <w:color w:val="0000FF"/>
          <w:sz w:val="24"/>
          <w:szCs w:val="24"/>
        </w:rPr>
        <w:t>{City, State Zip Code}</w:t>
      </w:r>
    </w:p>
    <w:p w14:paraId="586DF31E" w14:textId="04003D50" w:rsidR="009805F4" w:rsidRPr="001426AD" w:rsidRDefault="009805F4" w:rsidP="009805F4">
      <w:pPr>
        <w:spacing w:after="0" w:line="240" w:lineRule="auto"/>
        <w:rPr>
          <w:rFonts w:eastAsia="Times New Roman" w:cs="Times New Roman"/>
          <w:color w:val="0000FF"/>
          <w:sz w:val="24"/>
          <w:szCs w:val="24"/>
        </w:rPr>
      </w:pPr>
      <w:r w:rsidRPr="001426AD">
        <w:rPr>
          <w:rFonts w:eastAsia="Times New Roman" w:cs="Times New Roman"/>
          <w:color w:val="0000FF"/>
          <w:sz w:val="24"/>
          <w:szCs w:val="24"/>
        </w:rPr>
        <w:t>Parcel ID:</w:t>
      </w:r>
      <w:r w:rsidR="00FA749E">
        <w:rPr>
          <w:rFonts w:eastAsia="Times New Roman" w:cs="Times New Roman"/>
          <w:color w:val="0000FF"/>
          <w:sz w:val="24"/>
          <w:szCs w:val="24"/>
        </w:rPr>
        <w:t xml:space="preserve"> </w:t>
      </w:r>
      <w:r w:rsidRPr="001426AD">
        <w:rPr>
          <w:rFonts w:eastAsia="Times New Roman" w:cs="Times New Roman"/>
          <w:color w:val="0000FF"/>
          <w:sz w:val="24"/>
          <w:szCs w:val="24"/>
        </w:rPr>
        <w:t>{</w:t>
      </w:r>
      <w:proofErr w:type="spellStart"/>
      <w:r w:rsidRPr="001426AD">
        <w:rPr>
          <w:rFonts w:eastAsia="Times New Roman" w:cs="Times New Roman"/>
          <w:color w:val="0000FF"/>
          <w:sz w:val="24"/>
          <w:szCs w:val="24"/>
        </w:rPr>
        <w:t>xxxxxxxxx</w:t>
      </w:r>
      <w:proofErr w:type="spellEnd"/>
      <w:r w:rsidRPr="001426AD">
        <w:rPr>
          <w:rFonts w:eastAsia="Times New Roman" w:cs="Times New Roman"/>
          <w:color w:val="0000FF"/>
          <w:sz w:val="24"/>
          <w:szCs w:val="24"/>
        </w:rPr>
        <w:t>}</w:t>
      </w:r>
    </w:p>
    <w:p w14:paraId="0D14A0CA" w14:textId="77777777" w:rsidR="009805F4" w:rsidRPr="001426AD" w:rsidRDefault="009805F4" w:rsidP="009805F4">
      <w:pPr>
        <w:spacing w:after="0" w:line="240" w:lineRule="auto"/>
        <w:rPr>
          <w:rFonts w:eastAsia="Times New Roman" w:cs="Arial"/>
          <w:sz w:val="24"/>
          <w:szCs w:val="24"/>
        </w:rPr>
      </w:pPr>
    </w:p>
    <w:p w14:paraId="6B692585" w14:textId="77777777" w:rsidR="009805F4" w:rsidRPr="001426AD" w:rsidRDefault="009805F4" w:rsidP="009805F4">
      <w:pPr>
        <w:spacing w:after="0" w:line="240" w:lineRule="auto"/>
        <w:ind w:left="1080" w:hanging="1080"/>
        <w:rPr>
          <w:rFonts w:eastAsia="Times New Roman" w:cs="Arial"/>
          <w:b/>
          <w:sz w:val="24"/>
          <w:szCs w:val="24"/>
          <w:u w:val="single"/>
        </w:rPr>
      </w:pPr>
      <w:r w:rsidRPr="001426AD">
        <w:rPr>
          <w:rFonts w:eastAsia="Times New Roman" w:cs="Times New Roman"/>
          <w:sz w:val="24"/>
          <w:szCs w:val="24"/>
        </w:rPr>
        <w:t>Subject:</w:t>
      </w:r>
      <w:r w:rsidRPr="001426AD">
        <w:rPr>
          <w:rFonts w:eastAsia="Times New Roman" w:cs="Times New Roman"/>
          <w:sz w:val="24"/>
          <w:szCs w:val="24"/>
        </w:rPr>
        <w:tab/>
      </w:r>
      <w:r w:rsidRPr="001426AD">
        <w:rPr>
          <w:rFonts w:eastAsia="Times New Roman" w:cs="Arial"/>
          <w:b/>
          <w:sz w:val="24"/>
          <w:szCs w:val="24"/>
          <w:u w:val="single"/>
        </w:rPr>
        <w:t>Establishing a Temporary Point of Compliance for:</w:t>
      </w:r>
    </w:p>
    <w:p w14:paraId="3BD14BBD" w14:textId="77777777" w:rsidR="009805F4" w:rsidRPr="001426AD" w:rsidRDefault="009805F4" w:rsidP="009805F4">
      <w:pPr>
        <w:spacing w:after="0" w:line="240" w:lineRule="auto"/>
        <w:ind w:left="1080"/>
        <w:rPr>
          <w:rFonts w:eastAsia="Times New Roman" w:cs="Times New Roman"/>
          <w:iCs/>
          <w:color w:val="0000FF"/>
          <w:sz w:val="24"/>
          <w:szCs w:val="24"/>
        </w:rPr>
      </w:pPr>
      <w:r w:rsidRPr="001426AD">
        <w:rPr>
          <w:rFonts w:eastAsia="Times New Roman" w:cs="Times New Roman"/>
          <w:iCs/>
          <w:color w:val="0000FF"/>
          <w:sz w:val="24"/>
          <w:szCs w:val="24"/>
        </w:rPr>
        <w:t xml:space="preserve">{Facility Name </w:t>
      </w:r>
      <w:r w:rsidRPr="001426AD">
        <w:rPr>
          <w:rFonts w:eastAsia="Times New Roman" w:cs="Times New Roman"/>
          <w:iCs/>
          <w:color w:val="FF0000"/>
          <w:sz w:val="24"/>
          <w:szCs w:val="24"/>
          <w:u w:val="single"/>
        </w:rPr>
        <w:t>OR</w:t>
      </w:r>
      <w:r w:rsidRPr="001426AD">
        <w:rPr>
          <w:rFonts w:eastAsia="Times New Roman" w:cs="Times New Roman"/>
          <w:iCs/>
          <w:color w:val="FF0000"/>
          <w:sz w:val="24"/>
          <w:szCs w:val="24"/>
        </w:rPr>
        <w:t xml:space="preserve"> </w:t>
      </w:r>
      <w:r w:rsidRPr="001426AD">
        <w:rPr>
          <w:rFonts w:eastAsia="Times New Roman" w:cs="Times New Roman"/>
          <w:iCs/>
          <w:color w:val="0000FF"/>
          <w:sz w:val="24"/>
          <w:szCs w:val="24"/>
        </w:rPr>
        <w:t>Contaminated Site Reference Name}</w:t>
      </w:r>
    </w:p>
    <w:p w14:paraId="67536534" w14:textId="77777777" w:rsidR="009805F4" w:rsidRPr="001426AD" w:rsidRDefault="009805F4" w:rsidP="009805F4">
      <w:pPr>
        <w:tabs>
          <w:tab w:val="left" w:pos="1170"/>
        </w:tabs>
        <w:spacing w:after="0" w:line="240" w:lineRule="auto"/>
        <w:rPr>
          <w:rFonts w:eastAsia="Times New Roman" w:cs="Times New Roman"/>
          <w:color w:val="0000FF"/>
          <w:sz w:val="24"/>
          <w:szCs w:val="24"/>
        </w:rPr>
      </w:pPr>
      <w:r w:rsidRPr="001426AD">
        <w:rPr>
          <w:rFonts w:eastAsia="Times New Roman" w:cs="Times New Roman"/>
          <w:color w:val="0000FF"/>
          <w:sz w:val="24"/>
          <w:szCs w:val="24"/>
        </w:rPr>
        <w:tab/>
        <w:t>Street Address</w:t>
      </w:r>
    </w:p>
    <w:p w14:paraId="055E6A0A" w14:textId="77777777" w:rsidR="009805F4" w:rsidRPr="001426AD" w:rsidRDefault="009805F4" w:rsidP="009805F4">
      <w:pPr>
        <w:tabs>
          <w:tab w:val="left" w:pos="1170"/>
        </w:tabs>
        <w:spacing w:after="0" w:line="240" w:lineRule="auto"/>
        <w:rPr>
          <w:rFonts w:eastAsia="Times New Roman" w:cs="Times New Roman"/>
          <w:color w:val="0000FF"/>
          <w:sz w:val="24"/>
          <w:szCs w:val="24"/>
        </w:rPr>
      </w:pPr>
      <w:r w:rsidRPr="001426AD">
        <w:rPr>
          <w:rFonts w:eastAsia="Times New Roman" w:cs="Times New Roman"/>
          <w:color w:val="0000FF"/>
          <w:sz w:val="24"/>
          <w:szCs w:val="24"/>
        </w:rPr>
        <w:tab/>
        <w:t>City, County</w:t>
      </w:r>
    </w:p>
    <w:p w14:paraId="1216B590" w14:textId="77777777" w:rsidR="009805F4" w:rsidRPr="001426AD" w:rsidRDefault="009805F4" w:rsidP="009805F4">
      <w:pPr>
        <w:tabs>
          <w:tab w:val="left" w:pos="1170"/>
        </w:tabs>
        <w:spacing w:after="0" w:line="240" w:lineRule="auto"/>
        <w:rPr>
          <w:rFonts w:eastAsia="Times New Roman" w:cs="Times New Roman"/>
          <w:color w:val="0000FF"/>
          <w:sz w:val="24"/>
          <w:szCs w:val="24"/>
        </w:rPr>
      </w:pPr>
      <w:r w:rsidRPr="001426AD">
        <w:rPr>
          <w:rFonts w:eastAsia="Times New Roman" w:cs="Times New Roman"/>
          <w:color w:val="0000FF"/>
          <w:sz w:val="24"/>
          <w:szCs w:val="24"/>
        </w:rPr>
        <w:tab/>
        <w:t>Site Facility ID #: {</w:t>
      </w:r>
      <w:proofErr w:type="spellStart"/>
      <w:r w:rsidRPr="001426AD">
        <w:rPr>
          <w:rFonts w:eastAsia="Times New Roman" w:cs="Times New Roman"/>
          <w:color w:val="0000FF"/>
          <w:sz w:val="24"/>
          <w:szCs w:val="24"/>
        </w:rPr>
        <w:t>xxxxxxxxx</w:t>
      </w:r>
      <w:proofErr w:type="spellEnd"/>
      <w:r w:rsidRPr="001426AD">
        <w:rPr>
          <w:rFonts w:eastAsia="Times New Roman" w:cs="Times New Roman"/>
          <w:color w:val="0000FF"/>
          <w:sz w:val="24"/>
          <w:szCs w:val="24"/>
        </w:rPr>
        <w:t xml:space="preserve">} </w:t>
      </w:r>
    </w:p>
    <w:p w14:paraId="0C400412" w14:textId="183CCD67" w:rsidR="009805F4" w:rsidRPr="001426AD" w:rsidRDefault="009805F4" w:rsidP="009805F4">
      <w:pPr>
        <w:tabs>
          <w:tab w:val="left" w:pos="1170"/>
        </w:tabs>
        <w:spacing w:after="0" w:line="240" w:lineRule="auto"/>
        <w:rPr>
          <w:rFonts w:eastAsia="Times New Roman" w:cs="Times New Roman"/>
          <w:color w:val="0000FF"/>
          <w:sz w:val="24"/>
          <w:szCs w:val="24"/>
        </w:rPr>
      </w:pPr>
      <w:r w:rsidRPr="001426AD">
        <w:rPr>
          <w:rFonts w:eastAsia="Times New Roman" w:cs="Times New Roman"/>
          <w:color w:val="0000FF"/>
          <w:sz w:val="24"/>
          <w:szCs w:val="24"/>
        </w:rPr>
        <w:tab/>
        <w:t>Parcel ID:</w:t>
      </w:r>
      <w:r w:rsidR="00FA749E">
        <w:rPr>
          <w:rFonts w:eastAsia="Times New Roman" w:cs="Times New Roman"/>
          <w:color w:val="0000FF"/>
          <w:sz w:val="24"/>
          <w:szCs w:val="24"/>
        </w:rPr>
        <w:t xml:space="preserve"> </w:t>
      </w:r>
      <w:r w:rsidRPr="001426AD">
        <w:rPr>
          <w:rFonts w:eastAsia="Times New Roman" w:cs="Times New Roman"/>
          <w:color w:val="0000FF"/>
          <w:sz w:val="24"/>
          <w:szCs w:val="24"/>
        </w:rPr>
        <w:t>{</w:t>
      </w:r>
      <w:proofErr w:type="spellStart"/>
      <w:r w:rsidRPr="001426AD">
        <w:rPr>
          <w:rFonts w:eastAsia="Times New Roman" w:cs="Times New Roman"/>
          <w:color w:val="0000FF"/>
          <w:sz w:val="24"/>
          <w:szCs w:val="24"/>
        </w:rPr>
        <w:t>xxxxxxxxx</w:t>
      </w:r>
      <w:proofErr w:type="spellEnd"/>
      <w:r w:rsidRPr="001426AD">
        <w:rPr>
          <w:rFonts w:eastAsia="Times New Roman" w:cs="Times New Roman"/>
          <w:color w:val="0000FF"/>
          <w:sz w:val="24"/>
          <w:szCs w:val="24"/>
        </w:rPr>
        <w:t>}</w:t>
      </w:r>
    </w:p>
    <w:p w14:paraId="0EE8E735" w14:textId="77777777" w:rsidR="009805F4" w:rsidRPr="001426AD" w:rsidRDefault="009805F4" w:rsidP="009805F4">
      <w:pPr>
        <w:spacing w:after="0" w:line="240" w:lineRule="auto"/>
        <w:jc w:val="center"/>
        <w:rPr>
          <w:rFonts w:eastAsia="Times New Roman" w:cs="Times New Roman"/>
          <w:color w:val="FF0000"/>
          <w:sz w:val="24"/>
          <w:szCs w:val="24"/>
        </w:rPr>
      </w:pPr>
    </w:p>
    <w:p w14:paraId="17FA865E" w14:textId="77777777" w:rsidR="009805F4" w:rsidRPr="001426AD" w:rsidRDefault="009805F4" w:rsidP="009805F4">
      <w:pPr>
        <w:spacing w:after="0" w:line="240" w:lineRule="auto"/>
        <w:jc w:val="center"/>
        <w:rPr>
          <w:rFonts w:eastAsia="Times New Roman" w:cs="Times New Roman"/>
          <w:color w:val="FF0000"/>
          <w:sz w:val="24"/>
          <w:szCs w:val="24"/>
        </w:rPr>
      </w:pPr>
      <w:r w:rsidRPr="001426AD">
        <w:rPr>
          <w:rFonts w:eastAsia="Times New Roman" w:cs="Times New Roman"/>
          <w:color w:val="FF0000"/>
          <w:sz w:val="24"/>
          <w:szCs w:val="24"/>
        </w:rPr>
        <w:t>{{ADJUST TEXT ON PAGES AS NEEDED TO AVOID SPLITTING SUBTITLES FROM TEXT}}</w:t>
      </w:r>
    </w:p>
    <w:p w14:paraId="01017AC6" w14:textId="77777777" w:rsidR="009805F4" w:rsidRPr="001426AD" w:rsidRDefault="009805F4" w:rsidP="009805F4">
      <w:pPr>
        <w:spacing w:after="0" w:line="240" w:lineRule="auto"/>
        <w:rPr>
          <w:rFonts w:eastAsia="Times New Roman" w:cs="Arial"/>
          <w:sz w:val="24"/>
          <w:szCs w:val="24"/>
        </w:rPr>
      </w:pPr>
    </w:p>
    <w:p w14:paraId="30CFC15E" w14:textId="1A030476" w:rsidR="009805F4" w:rsidRPr="001426AD" w:rsidRDefault="009805F4" w:rsidP="009805F4">
      <w:pPr>
        <w:spacing w:after="0" w:line="240" w:lineRule="auto"/>
        <w:rPr>
          <w:rFonts w:eastAsia="Times New Roman" w:cs="Times New Roman"/>
          <w:color w:val="0000FF"/>
          <w:sz w:val="24"/>
          <w:szCs w:val="24"/>
        </w:rPr>
      </w:pPr>
      <w:r w:rsidRPr="001426AD">
        <w:rPr>
          <w:rFonts w:eastAsia="Times New Roman" w:cs="Times New Roman"/>
          <w:sz w:val="24"/>
          <w:szCs w:val="24"/>
        </w:rPr>
        <w:t xml:space="preserve">Dear </w:t>
      </w:r>
      <w:r w:rsidR="00EE4197" w:rsidRPr="001426AD">
        <w:rPr>
          <w:rFonts w:eastAsia="Times New Roman" w:cs="Times New Roman"/>
          <w:color w:val="0000FF"/>
          <w:sz w:val="24"/>
          <w:szCs w:val="24"/>
        </w:rPr>
        <w:t>{</w:t>
      </w:r>
      <w:r w:rsidRPr="001426AD">
        <w:rPr>
          <w:rFonts w:eastAsia="Times New Roman" w:cs="Times New Roman"/>
          <w:color w:val="0000FF"/>
          <w:sz w:val="24"/>
          <w:szCs w:val="24"/>
        </w:rPr>
        <w:t xml:space="preserve">Mr. </w:t>
      </w:r>
      <w:r w:rsidRPr="001426AD">
        <w:rPr>
          <w:rFonts w:eastAsia="Times New Roman" w:cs="Times New Roman"/>
          <w:sz w:val="24"/>
          <w:szCs w:val="24"/>
          <w:u w:val="single"/>
        </w:rPr>
        <w:t>or</w:t>
      </w:r>
      <w:r w:rsidRPr="001426AD">
        <w:rPr>
          <w:rFonts w:eastAsia="Times New Roman" w:cs="Times New Roman"/>
          <w:sz w:val="24"/>
          <w:szCs w:val="24"/>
        </w:rPr>
        <w:t xml:space="preserve"> </w:t>
      </w:r>
      <w:r w:rsidRPr="001426AD">
        <w:rPr>
          <w:rFonts w:eastAsia="Times New Roman" w:cs="Times New Roman"/>
          <w:color w:val="0000FF"/>
          <w:sz w:val="24"/>
          <w:szCs w:val="24"/>
        </w:rPr>
        <w:t>Ms</w:t>
      </w:r>
      <w:r w:rsidR="00EE4197" w:rsidRPr="001426AD">
        <w:rPr>
          <w:rFonts w:eastAsia="Times New Roman" w:cs="Times New Roman"/>
          <w:color w:val="0000FF"/>
          <w:sz w:val="24"/>
          <w:szCs w:val="24"/>
        </w:rPr>
        <w:t xml:space="preserve">. </w:t>
      </w:r>
      <w:r w:rsidR="00EE4197" w:rsidRPr="001426AD">
        <w:rPr>
          <w:rFonts w:eastAsia="Times New Roman" w:cs="Times New Roman"/>
          <w:sz w:val="24"/>
          <w:szCs w:val="24"/>
          <w:u w:val="single"/>
        </w:rPr>
        <w:t>or</w:t>
      </w:r>
      <w:r w:rsidR="00EE4197" w:rsidRPr="001426AD">
        <w:rPr>
          <w:rFonts w:eastAsia="Times New Roman" w:cs="Times New Roman"/>
          <w:color w:val="0000FF"/>
          <w:sz w:val="24"/>
          <w:szCs w:val="24"/>
        </w:rPr>
        <w:t xml:space="preserve"> Appropriate Title}</w:t>
      </w:r>
      <w:r w:rsidRPr="001426AD">
        <w:rPr>
          <w:rFonts w:eastAsia="Times New Roman" w:cs="Times New Roman"/>
          <w:color w:val="0000FF"/>
          <w:sz w:val="24"/>
          <w:szCs w:val="24"/>
        </w:rPr>
        <w:t xml:space="preserve"> {Off Property Owner’s Last Name}</w:t>
      </w:r>
      <w:r w:rsidRPr="001426AD">
        <w:rPr>
          <w:rFonts w:eastAsia="Times New Roman" w:cs="Times New Roman"/>
          <w:sz w:val="24"/>
          <w:szCs w:val="24"/>
        </w:rPr>
        <w:t>:</w:t>
      </w:r>
    </w:p>
    <w:p w14:paraId="2D39F8E9" w14:textId="77777777" w:rsidR="009805F4" w:rsidRPr="001426AD" w:rsidRDefault="009805F4" w:rsidP="009805F4">
      <w:pPr>
        <w:spacing w:after="0" w:line="240" w:lineRule="auto"/>
        <w:rPr>
          <w:rFonts w:eastAsia="Times New Roman" w:cs="Arial"/>
          <w:sz w:val="24"/>
          <w:szCs w:val="24"/>
        </w:rPr>
      </w:pPr>
    </w:p>
    <w:p w14:paraId="240EC5BF" w14:textId="22FD83C6" w:rsidR="00EE4197" w:rsidRPr="001426AD" w:rsidRDefault="009805F4" w:rsidP="009805F4">
      <w:pPr>
        <w:spacing w:after="0" w:line="240" w:lineRule="auto"/>
        <w:rPr>
          <w:rFonts w:eastAsia="Times New Roman" w:cs="Arial"/>
          <w:sz w:val="24"/>
          <w:szCs w:val="24"/>
        </w:rPr>
      </w:pPr>
      <w:r w:rsidRPr="001426AD">
        <w:rPr>
          <w:rFonts w:eastAsia="Times New Roman" w:cs="Arial"/>
          <w:sz w:val="24"/>
          <w:szCs w:val="24"/>
        </w:rPr>
        <w:t xml:space="preserve">This letter will serve as notice that the </w:t>
      </w:r>
      <w:r w:rsidR="00EE4197" w:rsidRPr="001426AD">
        <w:rPr>
          <w:rFonts w:eastAsia="Times New Roman" w:cs="Arial"/>
          <w:color w:val="0000FF"/>
          <w:sz w:val="24"/>
          <w:szCs w:val="24"/>
        </w:rPr>
        <w:t>{Person Responsible for Site Rehabilitation}</w:t>
      </w:r>
      <w:r w:rsidRPr="001426AD">
        <w:rPr>
          <w:rFonts w:eastAsia="Times New Roman" w:cs="Arial"/>
          <w:color w:val="0000FF"/>
          <w:sz w:val="24"/>
          <w:szCs w:val="24"/>
        </w:rPr>
        <w:t xml:space="preserve"> </w:t>
      </w:r>
      <w:r w:rsidRPr="001426AD" w:rsidDel="00332755">
        <w:rPr>
          <w:rFonts w:eastAsia="Times New Roman" w:cs="Arial"/>
          <w:sz w:val="24"/>
          <w:szCs w:val="24"/>
        </w:rPr>
        <w:t xml:space="preserve">proposes to </w:t>
      </w:r>
      <w:r w:rsidR="00EE4197" w:rsidRPr="001426AD">
        <w:rPr>
          <w:rFonts w:eastAsia="Times New Roman" w:cs="Arial"/>
          <w:sz w:val="24"/>
          <w:szCs w:val="24"/>
        </w:rPr>
        <w:t xml:space="preserve">establish a Temporary Point of Compliance (TPOC) beyond the property boundary of the source for </w:t>
      </w:r>
      <w:r w:rsidR="00EE4197" w:rsidRPr="001426AD">
        <w:rPr>
          <w:rFonts w:eastAsia="Times New Roman" w:cs="Arial"/>
          <w:color w:val="0000FF"/>
          <w:sz w:val="24"/>
          <w:szCs w:val="24"/>
        </w:rPr>
        <w:t xml:space="preserve">{classes of contaminants} </w:t>
      </w:r>
      <w:r w:rsidR="00EE4197" w:rsidRPr="001426AD">
        <w:rPr>
          <w:rFonts w:eastAsia="Times New Roman" w:cs="Arial"/>
          <w:sz w:val="24"/>
          <w:szCs w:val="24"/>
        </w:rPr>
        <w:t xml:space="preserve">in </w:t>
      </w:r>
      <w:r w:rsidR="00EE4197" w:rsidRPr="001426AD">
        <w:rPr>
          <w:rFonts w:eastAsia="Times New Roman" w:cs="Arial"/>
          <w:color w:val="0000FF"/>
          <w:sz w:val="24"/>
          <w:szCs w:val="24"/>
        </w:rPr>
        <w:t>{contaminated media}</w:t>
      </w:r>
      <w:r w:rsidR="00EE4197" w:rsidRPr="001426AD">
        <w:rPr>
          <w:rFonts w:eastAsia="Times New Roman" w:cs="Arial"/>
          <w:sz w:val="24"/>
          <w:szCs w:val="24"/>
        </w:rPr>
        <w:t xml:space="preserve"> from operations at the above-referenced site. A TPOC will be established at the known limit of the contamination at the time that the FDEP approves the remedial strategy for the contaminated site. The name and address of the Person Responsible for Site Rehabilitation (PRSR) for this site is as follows: </w:t>
      </w:r>
      <w:r w:rsidR="00EE4197" w:rsidRPr="001426AD">
        <w:rPr>
          <w:rFonts w:eastAsia="Times New Roman" w:cs="Arial"/>
          <w:color w:val="0000FF"/>
          <w:sz w:val="24"/>
          <w:szCs w:val="24"/>
        </w:rPr>
        <w:t>{XXXXX}</w:t>
      </w:r>
      <w:r w:rsidR="00EE4197" w:rsidRPr="001426AD">
        <w:rPr>
          <w:rFonts w:eastAsia="Times New Roman" w:cs="Arial"/>
          <w:sz w:val="24"/>
          <w:szCs w:val="24"/>
        </w:rPr>
        <w:t>.</w:t>
      </w:r>
    </w:p>
    <w:p w14:paraId="4E50AC6B" w14:textId="77777777" w:rsidR="009805F4" w:rsidRPr="001426AD" w:rsidRDefault="009805F4" w:rsidP="009805F4">
      <w:pPr>
        <w:spacing w:after="0" w:line="240" w:lineRule="auto"/>
        <w:rPr>
          <w:rFonts w:eastAsia="Times New Roman" w:cs="Arial"/>
          <w:sz w:val="24"/>
          <w:szCs w:val="24"/>
        </w:rPr>
      </w:pPr>
    </w:p>
    <w:p w14:paraId="07F35473" w14:textId="03D5CBA2" w:rsidR="009805F4" w:rsidRPr="001426AD" w:rsidRDefault="009805F4" w:rsidP="009805F4">
      <w:pPr>
        <w:spacing w:after="0" w:line="240" w:lineRule="auto"/>
        <w:rPr>
          <w:rFonts w:eastAsia="Times New Roman" w:cs="Arial"/>
          <w:color w:val="0000FF"/>
          <w:sz w:val="24"/>
          <w:szCs w:val="24"/>
        </w:rPr>
      </w:pPr>
      <w:r w:rsidRPr="001426AD">
        <w:rPr>
          <w:rFonts w:eastAsia="Times New Roman" w:cs="Arial"/>
          <w:sz w:val="24"/>
          <w:szCs w:val="24"/>
        </w:rPr>
        <w:t xml:space="preserve">Based on the </w:t>
      </w:r>
      <w:r w:rsidRPr="001426AD">
        <w:rPr>
          <w:rFonts w:eastAsia="Times New Roman" w:cs="Arial"/>
          <w:color w:val="0000FF"/>
          <w:sz w:val="24"/>
          <w:szCs w:val="24"/>
        </w:rPr>
        <w:t>{Remedial Action Plan (RAP) or Natural Attenuation Monitoring Plan (NAMP)}</w:t>
      </w:r>
      <w:r w:rsidRPr="001426AD">
        <w:rPr>
          <w:rFonts w:eastAsia="Times New Roman" w:cs="Arial"/>
          <w:sz w:val="24"/>
          <w:szCs w:val="24"/>
        </w:rPr>
        <w:t xml:space="preserve"> </w:t>
      </w:r>
      <w:r w:rsidRPr="001426AD">
        <w:rPr>
          <w:rFonts w:eastAsia="Times New Roman" w:cs="Arial"/>
          <w:color w:val="0000FF"/>
          <w:sz w:val="24"/>
          <w:szCs w:val="24"/>
        </w:rPr>
        <w:t xml:space="preserve">{or addenda or modification} </w:t>
      </w:r>
      <w:r w:rsidRPr="001426AD">
        <w:rPr>
          <w:rFonts w:eastAsia="Times New Roman" w:cs="Arial"/>
          <w:sz w:val="24"/>
          <w:szCs w:val="24"/>
        </w:rPr>
        <w:t xml:space="preserve">dated </w:t>
      </w:r>
      <w:r w:rsidRPr="001426AD">
        <w:rPr>
          <w:rFonts w:eastAsia="Times New Roman" w:cs="Arial"/>
          <w:color w:val="0000FF"/>
          <w:sz w:val="24"/>
          <w:szCs w:val="24"/>
        </w:rPr>
        <w:t>{date}</w:t>
      </w:r>
      <w:r w:rsidRPr="001426AD">
        <w:rPr>
          <w:rFonts w:eastAsia="Times New Roman" w:cs="Arial"/>
          <w:sz w:val="24"/>
          <w:szCs w:val="24"/>
        </w:rPr>
        <w:t xml:space="preserve">, submitted by </w:t>
      </w:r>
      <w:r w:rsidRPr="001426AD">
        <w:rPr>
          <w:rFonts w:eastAsia="Times New Roman" w:cs="Arial"/>
          <w:color w:val="0000FF"/>
          <w:sz w:val="24"/>
          <w:szCs w:val="24"/>
        </w:rPr>
        <w:t>{Consultant</w:t>
      </w:r>
      <w:r w:rsidR="00EE4197" w:rsidRPr="001426AD">
        <w:rPr>
          <w:rFonts w:eastAsia="Times New Roman" w:cs="Arial"/>
          <w:color w:val="0000FF"/>
          <w:sz w:val="24"/>
          <w:szCs w:val="24"/>
        </w:rPr>
        <w:t>/Representative’s</w:t>
      </w:r>
      <w:r w:rsidRPr="001426AD">
        <w:rPr>
          <w:rFonts w:eastAsia="Times New Roman" w:cs="Arial"/>
          <w:color w:val="0000FF"/>
          <w:sz w:val="24"/>
          <w:szCs w:val="24"/>
        </w:rPr>
        <w:t xml:space="preserve"> Name}</w:t>
      </w:r>
      <w:r w:rsidRPr="001426AD">
        <w:rPr>
          <w:rFonts w:eastAsia="Times New Roman" w:cs="Arial"/>
          <w:sz w:val="24"/>
          <w:szCs w:val="24"/>
        </w:rPr>
        <w:t>, pursuant to Rule 62</w:t>
      </w:r>
      <w:r w:rsidRPr="001426AD">
        <w:rPr>
          <w:rFonts w:eastAsia="Times New Roman" w:cs="Arial"/>
          <w:sz w:val="24"/>
          <w:szCs w:val="24"/>
        </w:rPr>
        <w:noBreakHyphen/>
        <w:t>780.</w:t>
      </w:r>
      <w:r w:rsidR="00EE4197" w:rsidRPr="001426AD">
        <w:rPr>
          <w:rFonts w:eastAsia="Times New Roman" w:cs="Arial"/>
          <w:color w:val="0000FF"/>
          <w:sz w:val="24"/>
          <w:szCs w:val="24"/>
        </w:rPr>
        <w:t xml:space="preserve">{690 </w:t>
      </w:r>
      <w:r w:rsidR="00EE4197" w:rsidRPr="001426AD">
        <w:rPr>
          <w:rFonts w:eastAsia="Times New Roman" w:cs="Arial"/>
          <w:sz w:val="24"/>
          <w:szCs w:val="24"/>
        </w:rPr>
        <w:t xml:space="preserve">or </w:t>
      </w:r>
      <w:r w:rsidRPr="001426AD">
        <w:rPr>
          <w:rFonts w:eastAsia="Times New Roman" w:cs="Arial"/>
          <w:color w:val="0000FF"/>
          <w:sz w:val="24"/>
          <w:szCs w:val="24"/>
        </w:rPr>
        <w:t>700</w:t>
      </w:r>
      <w:r w:rsidR="00EE4197" w:rsidRPr="001426AD">
        <w:rPr>
          <w:rFonts w:eastAsia="Times New Roman" w:cs="Arial"/>
          <w:color w:val="0000FF"/>
          <w:sz w:val="24"/>
          <w:szCs w:val="24"/>
        </w:rPr>
        <w:t>}</w:t>
      </w:r>
      <w:r w:rsidRPr="001426AD">
        <w:rPr>
          <w:rFonts w:eastAsia="Times New Roman" w:cs="Arial"/>
          <w:sz w:val="24"/>
          <w:szCs w:val="24"/>
        </w:rPr>
        <w:t>, Florida Administrative Code (F.A.C.), and other file information available</w:t>
      </w:r>
      <w:r w:rsidR="00EE4197" w:rsidRPr="001426AD">
        <w:rPr>
          <w:rFonts w:eastAsia="Times New Roman" w:cs="Arial"/>
          <w:sz w:val="24"/>
          <w:szCs w:val="24"/>
        </w:rPr>
        <w:t xml:space="preserve"> to FDEP</w:t>
      </w:r>
      <w:r w:rsidRPr="001426AD">
        <w:rPr>
          <w:rFonts w:eastAsia="Times New Roman" w:cs="Arial"/>
          <w:sz w:val="24"/>
          <w:szCs w:val="24"/>
        </w:rPr>
        <w:t>, it has been determined that active remediation is the best strategy for the rehabilitation of this site, and it requires the establishment of a TPOC beyond the facility property boundary.</w:t>
      </w:r>
      <w:r w:rsidR="00FA749E">
        <w:rPr>
          <w:rFonts w:eastAsia="Times New Roman" w:cs="Arial"/>
          <w:sz w:val="24"/>
          <w:szCs w:val="24"/>
        </w:rPr>
        <w:t xml:space="preserve"> </w:t>
      </w:r>
      <w:r w:rsidR="008632BD" w:rsidRPr="001426AD">
        <w:rPr>
          <w:rFonts w:eastAsia="Times New Roman" w:cs="Arial"/>
          <w:sz w:val="24"/>
          <w:szCs w:val="24"/>
        </w:rPr>
        <w:t xml:space="preserve">Prior to the FDEP authorizing a temporary extension of the point of compliance beyond the boundary of the source property with a </w:t>
      </w:r>
      <w:r w:rsidR="008632BD" w:rsidRPr="001426AD">
        <w:rPr>
          <w:rFonts w:eastAsia="Times New Roman" w:cs="Arial"/>
          <w:color w:val="0000FF"/>
          <w:sz w:val="24"/>
          <w:szCs w:val="24"/>
        </w:rPr>
        <w:t xml:space="preserve">{RAP Approval Order or a NAMP Approval Order} </w:t>
      </w:r>
      <w:r w:rsidR="008632BD" w:rsidRPr="001426AD">
        <w:rPr>
          <w:rFonts w:eastAsia="Times New Roman" w:cs="Arial"/>
          <w:sz w:val="24"/>
          <w:szCs w:val="24"/>
        </w:rPr>
        <w:t>pursuant to Rule 62-780</w:t>
      </w:r>
      <w:r w:rsidR="008632BD" w:rsidRPr="001426AD">
        <w:rPr>
          <w:rFonts w:eastAsia="Times New Roman" w:cs="Arial"/>
          <w:color w:val="0000FF"/>
          <w:sz w:val="24"/>
          <w:szCs w:val="24"/>
        </w:rPr>
        <w:t>{.690 or .700}</w:t>
      </w:r>
      <w:r w:rsidR="008632BD" w:rsidRPr="001426AD">
        <w:rPr>
          <w:rFonts w:eastAsia="Times New Roman" w:cs="Arial"/>
          <w:sz w:val="24"/>
          <w:szCs w:val="24"/>
        </w:rPr>
        <w:t xml:space="preserve">, F.A.C., </w:t>
      </w:r>
      <w:r w:rsidR="008632BD" w:rsidRPr="001426AD">
        <w:rPr>
          <w:rFonts w:eastAsia="Times New Roman" w:cs="Arial"/>
          <w:color w:val="0000FF"/>
          <w:sz w:val="24"/>
          <w:szCs w:val="24"/>
        </w:rPr>
        <w:t>{the PRSR}</w:t>
      </w:r>
      <w:r w:rsidR="008632BD" w:rsidRPr="001426AD">
        <w:rPr>
          <w:rFonts w:eastAsia="Times New Roman" w:cs="Arial"/>
          <w:sz w:val="24"/>
          <w:szCs w:val="24"/>
        </w:rPr>
        <w:t xml:space="preserve"> must demonstrate compliance with the notice and opportunity-to-comment requirements of subsection 62-780.220(3) F.A.C. Although this proposed TPOC has been determined to extend into, or beyond, the property which you own identified by the parcel number above, its establishment will not subject you to liability for the contamination which is the subject of this notice. </w:t>
      </w:r>
      <w:r w:rsidR="008632BD" w:rsidRPr="001426AD">
        <w:rPr>
          <w:rFonts w:eastAsia="Times New Roman" w:cs="Arial"/>
          <w:color w:val="0000FF"/>
          <w:sz w:val="24"/>
          <w:szCs w:val="24"/>
        </w:rPr>
        <w:t>{</w:t>
      </w:r>
      <w:r w:rsidR="008632BD" w:rsidRPr="001426AD">
        <w:rPr>
          <w:rFonts w:eastAsia="Times New Roman" w:cs="Arial"/>
          <w:i/>
          <w:color w:val="0000FF"/>
          <w:sz w:val="24"/>
          <w:szCs w:val="24"/>
        </w:rPr>
        <w:t>If a map is proposed to be attached, the following sentence should be included:</w:t>
      </w:r>
      <w:r w:rsidR="008632BD" w:rsidRPr="001426AD">
        <w:rPr>
          <w:rFonts w:eastAsia="Times New Roman" w:cs="Arial"/>
          <w:color w:val="0000FF"/>
          <w:sz w:val="24"/>
          <w:szCs w:val="24"/>
        </w:rPr>
        <w:t xml:space="preserve"> “A copy of the site map showing the area of contamination and proposed TPOC on your property is attached”.}</w:t>
      </w:r>
    </w:p>
    <w:p w14:paraId="1CFB6F82" w14:textId="77777777" w:rsidR="009805F4" w:rsidRPr="001426AD" w:rsidRDefault="009805F4" w:rsidP="009805F4">
      <w:pPr>
        <w:spacing w:after="0" w:line="240" w:lineRule="auto"/>
        <w:rPr>
          <w:rFonts w:eastAsia="Times New Roman" w:cs="Arial"/>
          <w:sz w:val="24"/>
          <w:szCs w:val="24"/>
        </w:rPr>
      </w:pPr>
    </w:p>
    <w:p w14:paraId="74F19CC0" w14:textId="0955C13F" w:rsidR="009805F4" w:rsidRPr="001426AD" w:rsidRDefault="009805F4" w:rsidP="009805F4">
      <w:pPr>
        <w:spacing w:after="0" w:line="240" w:lineRule="auto"/>
        <w:rPr>
          <w:rFonts w:eastAsia="Times New Roman" w:cs="Arial"/>
          <w:sz w:val="24"/>
          <w:szCs w:val="24"/>
        </w:rPr>
      </w:pPr>
      <w:r w:rsidRPr="001426AD">
        <w:rPr>
          <w:rFonts w:eastAsia="Times New Roman" w:cs="Arial"/>
          <w:sz w:val="24"/>
          <w:szCs w:val="24"/>
        </w:rPr>
        <w:lastRenderedPageBreak/>
        <w:t xml:space="preserve">If </w:t>
      </w:r>
      <w:r w:rsidR="00C93CA0">
        <w:rPr>
          <w:rFonts w:eastAsia="Times New Roman" w:cs="Arial"/>
          <w:sz w:val="24"/>
          <w:szCs w:val="24"/>
        </w:rPr>
        <w:t>FDEP</w:t>
      </w:r>
      <w:r w:rsidRPr="001426AD">
        <w:rPr>
          <w:rFonts w:eastAsia="Times New Roman" w:cs="Arial"/>
          <w:sz w:val="24"/>
          <w:szCs w:val="24"/>
        </w:rPr>
        <w:t xml:space="preserve"> determines</w:t>
      </w:r>
      <w:r w:rsidR="001426AD" w:rsidRPr="001426AD">
        <w:rPr>
          <w:rFonts w:eastAsia="Times New Roman" w:cs="Arial"/>
          <w:sz w:val="24"/>
          <w:szCs w:val="24"/>
        </w:rPr>
        <w:t>,</w:t>
      </w:r>
      <w:r w:rsidRPr="001426AD">
        <w:rPr>
          <w:rFonts w:eastAsia="Times New Roman" w:cs="Arial"/>
          <w:sz w:val="24"/>
          <w:szCs w:val="24"/>
        </w:rPr>
        <w:t xml:space="preserve"> after the review of the information utilized to select the TPOC</w:t>
      </w:r>
      <w:r w:rsidR="001426AD" w:rsidRPr="001426AD">
        <w:rPr>
          <w:rFonts w:eastAsia="Times New Roman" w:cs="Arial"/>
          <w:sz w:val="24"/>
          <w:szCs w:val="24"/>
        </w:rPr>
        <w:t>,</w:t>
      </w:r>
      <w:r w:rsidRPr="001426AD">
        <w:rPr>
          <w:rFonts w:eastAsia="Times New Roman" w:cs="Arial"/>
          <w:sz w:val="24"/>
          <w:szCs w:val="24"/>
        </w:rPr>
        <w:t xml:space="preserve"> that human health, public safety and the environment are adequately protected, </w:t>
      </w:r>
      <w:r w:rsidR="00C93CA0">
        <w:rPr>
          <w:rFonts w:eastAsia="Times New Roman" w:cs="Arial"/>
          <w:sz w:val="24"/>
          <w:szCs w:val="24"/>
        </w:rPr>
        <w:t>FDEP</w:t>
      </w:r>
      <w:r w:rsidRPr="001426AD">
        <w:rPr>
          <w:rFonts w:eastAsia="Times New Roman" w:cs="Arial"/>
          <w:sz w:val="24"/>
          <w:szCs w:val="24"/>
        </w:rPr>
        <w:t xml:space="preserve"> may authorize the establishment of a TPOC as part of the </w:t>
      </w:r>
      <w:r w:rsidR="001426AD" w:rsidRPr="001426AD">
        <w:rPr>
          <w:rFonts w:eastAsia="Times New Roman" w:cs="Arial"/>
          <w:color w:val="0000FF"/>
          <w:sz w:val="24"/>
          <w:szCs w:val="24"/>
        </w:rPr>
        <w:t>{</w:t>
      </w:r>
      <w:r w:rsidRPr="001426AD">
        <w:rPr>
          <w:rFonts w:eastAsia="Times New Roman" w:cs="Arial"/>
          <w:color w:val="0000FF"/>
          <w:sz w:val="24"/>
          <w:szCs w:val="24"/>
        </w:rPr>
        <w:t>Remedial Action Plan Approval Order</w:t>
      </w:r>
      <w:r w:rsidR="001426AD" w:rsidRPr="001426AD">
        <w:rPr>
          <w:rFonts w:eastAsia="Times New Roman" w:cs="Arial"/>
          <w:color w:val="0000FF"/>
          <w:sz w:val="24"/>
          <w:szCs w:val="24"/>
        </w:rPr>
        <w:t xml:space="preserve"> </w:t>
      </w:r>
      <w:r w:rsidR="001426AD" w:rsidRPr="001426AD">
        <w:rPr>
          <w:rFonts w:eastAsia="Times New Roman" w:cs="Arial"/>
          <w:sz w:val="24"/>
          <w:szCs w:val="24"/>
          <w:u w:val="single"/>
        </w:rPr>
        <w:t>or</w:t>
      </w:r>
      <w:r w:rsidR="001426AD" w:rsidRPr="001426AD">
        <w:rPr>
          <w:rFonts w:eastAsia="Times New Roman" w:cs="Arial"/>
          <w:sz w:val="24"/>
          <w:szCs w:val="24"/>
        </w:rPr>
        <w:t xml:space="preserve"> </w:t>
      </w:r>
      <w:r w:rsidR="001426AD" w:rsidRPr="001426AD">
        <w:rPr>
          <w:rFonts w:eastAsia="Times New Roman" w:cs="Arial"/>
          <w:color w:val="0000FF"/>
          <w:sz w:val="24"/>
          <w:szCs w:val="24"/>
        </w:rPr>
        <w:t>Natural Attenuation Monitoring Approval Order (NAMPAO}</w:t>
      </w:r>
      <w:r w:rsidRPr="001426AD">
        <w:rPr>
          <w:rFonts w:eastAsia="Times New Roman" w:cs="Arial"/>
          <w:sz w:val="24"/>
          <w:szCs w:val="24"/>
        </w:rPr>
        <w:t xml:space="preserve"> (“Order”) for this site.</w:t>
      </w:r>
      <w:r w:rsidR="00FA749E">
        <w:rPr>
          <w:rFonts w:eastAsia="Times New Roman" w:cs="Arial"/>
          <w:sz w:val="24"/>
          <w:szCs w:val="24"/>
        </w:rPr>
        <w:t xml:space="preserve"> </w:t>
      </w:r>
      <w:r w:rsidRPr="001426AD">
        <w:rPr>
          <w:rFonts w:eastAsia="Times New Roman" w:cs="Arial"/>
          <w:sz w:val="24"/>
          <w:szCs w:val="24"/>
        </w:rPr>
        <w:t>When the Order is approved, it will additionally require continued monitoring of the contamination to ensure that this protection is maintained during the course of site rehabilitation.</w:t>
      </w:r>
    </w:p>
    <w:p w14:paraId="7417595F" w14:textId="77777777" w:rsidR="009805F4" w:rsidRPr="001426AD" w:rsidRDefault="009805F4" w:rsidP="009805F4">
      <w:pPr>
        <w:spacing w:after="0" w:line="240" w:lineRule="auto"/>
        <w:rPr>
          <w:rFonts w:eastAsia="Times New Roman" w:cs="Arial"/>
          <w:sz w:val="24"/>
          <w:szCs w:val="24"/>
        </w:rPr>
      </w:pPr>
    </w:p>
    <w:p w14:paraId="3ECC99CF" w14:textId="4B035DF6" w:rsidR="009805F4" w:rsidRPr="001426AD" w:rsidRDefault="009805F4" w:rsidP="009805F4">
      <w:pPr>
        <w:spacing w:after="0" w:line="240" w:lineRule="auto"/>
        <w:rPr>
          <w:rFonts w:eastAsia="Times New Roman" w:cs="Arial"/>
          <w:sz w:val="24"/>
          <w:szCs w:val="24"/>
        </w:rPr>
      </w:pPr>
      <w:r w:rsidRPr="001426AD">
        <w:rPr>
          <w:rFonts w:eastAsia="Times New Roman" w:cs="Arial"/>
          <w:sz w:val="24"/>
          <w:szCs w:val="24"/>
        </w:rPr>
        <w:t xml:space="preserve">Persons receiving this notice shall have the opportunity to comment on </w:t>
      </w:r>
      <w:r w:rsidR="00C93CA0">
        <w:rPr>
          <w:rFonts w:eastAsia="Times New Roman" w:cs="Arial"/>
          <w:sz w:val="24"/>
          <w:szCs w:val="24"/>
        </w:rPr>
        <w:t>FDEP</w:t>
      </w:r>
      <w:r w:rsidRPr="001426AD">
        <w:rPr>
          <w:rFonts w:eastAsia="Times New Roman" w:cs="Arial"/>
          <w:sz w:val="24"/>
          <w:szCs w:val="24"/>
        </w:rPr>
        <w:t>’s proposed action (i.e., TPOC approval) within 30 days of receipt of this notice commencing on the delivery date stamped on the return receipt.</w:t>
      </w:r>
      <w:r w:rsidR="00FA749E">
        <w:rPr>
          <w:rFonts w:eastAsia="Times New Roman" w:cs="Arial"/>
          <w:sz w:val="24"/>
          <w:szCs w:val="24"/>
        </w:rPr>
        <w:t xml:space="preserve"> </w:t>
      </w:r>
      <w:r w:rsidRPr="001426AD">
        <w:rPr>
          <w:rFonts w:eastAsia="Times New Roman" w:cs="Arial"/>
          <w:sz w:val="24"/>
          <w:szCs w:val="24"/>
        </w:rPr>
        <w:t xml:space="preserve">Written comments should be sent to </w:t>
      </w:r>
      <w:r w:rsidRPr="001426AD">
        <w:rPr>
          <w:rFonts w:eastAsia="Times New Roman" w:cs="Arial"/>
          <w:color w:val="0000FF"/>
          <w:sz w:val="24"/>
          <w:szCs w:val="24"/>
        </w:rPr>
        <w:t xml:space="preserve">{FDEP Project Manager} </w:t>
      </w:r>
      <w:r w:rsidRPr="001426AD">
        <w:rPr>
          <w:rFonts w:eastAsia="Times New Roman" w:cs="Arial"/>
          <w:sz w:val="24"/>
          <w:szCs w:val="24"/>
        </w:rPr>
        <w:t>at the address below.</w:t>
      </w:r>
      <w:r w:rsidR="00FA749E">
        <w:rPr>
          <w:rFonts w:eastAsia="Times New Roman" w:cs="Arial"/>
          <w:sz w:val="24"/>
          <w:szCs w:val="24"/>
        </w:rPr>
        <w:t xml:space="preserve"> </w:t>
      </w:r>
    </w:p>
    <w:p w14:paraId="4A355D42" w14:textId="77777777" w:rsidR="009805F4" w:rsidRPr="001426AD" w:rsidRDefault="009805F4" w:rsidP="009805F4">
      <w:pPr>
        <w:spacing w:after="0" w:line="240" w:lineRule="auto"/>
        <w:rPr>
          <w:rFonts w:eastAsia="Times New Roman" w:cs="Arial"/>
          <w:sz w:val="24"/>
          <w:szCs w:val="24"/>
        </w:rPr>
      </w:pPr>
    </w:p>
    <w:p w14:paraId="7C479C9E" w14:textId="77777777" w:rsidR="001426AD" w:rsidRPr="001426AD" w:rsidRDefault="001426AD" w:rsidP="009805F4">
      <w:pPr>
        <w:spacing w:after="0" w:line="240" w:lineRule="auto"/>
        <w:rPr>
          <w:color w:val="0000FF"/>
          <w:sz w:val="24"/>
          <w:szCs w:val="24"/>
        </w:rPr>
      </w:pPr>
      <w:r w:rsidRPr="001426AD">
        <w:rPr>
          <w:color w:val="0000FF"/>
          <w:sz w:val="24"/>
          <w:szCs w:val="24"/>
        </w:rPr>
        <w:t xml:space="preserve">{FDEP office address} </w:t>
      </w:r>
    </w:p>
    <w:p w14:paraId="722546F8" w14:textId="77777777" w:rsidR="009805F4" w:rsidRPr="001426AD" w:rsidRDefault="009805F4" w:rsidP="009805F4">
      <w:pPr>
        <w:spacing w:after="0" w:line="240" w:lineRule="auto"/>
        <w:rPr>
          <w:rFonts w:eastAsia="Times New Roman" w:cs="Arial"/>
          <w:sz w:val="24"/>
          <w:szCs w:val="24"/>
        </w:rPr>
      </w:pPr>
    </w:p>
    <w:p w14:paraId="1B208F28" w14:textId="77777777" w:rsidR="009805F4" w:rsidRPr="001426AD" w:rsidRDefault="009805F4" w:rsidP="009805F4">
      <w:pPr>
        <w:spacing w:after="0" w:line="240" w:lineRule="auto"/>
        <w:rPr>
          <w:rFonts w:eastAsia="Times New Roman" w:cs="Times New Roman"/>
          <w:sz w:val="24"/>
          <w:szCs w:val="24"/>
        </w:rPr>
      </w:pPr>
      <w:r w:rsidRPr="001426AD">
        <w:rPr>
          <w:rFonts w:eastAsia="Times New Roman" w:cs="Times New Roman"/>
          <w:sz w:val="24"/>
          <w:szCs w:val="24"/>
        </w:rPr>
        <w:t xml:space="preserve">Comments may also be submitted via e-mail to </w:t>
      </w:r>
      <w:r w:rsidRPr="001426AD">
        <w:rPr>
          <w:rFonts w:eastAsia="Times New Roman" w:cs="Times New Roman"/>
          <w:color w:val="0000FF"/>
          <w:sz w:val="24"/>
          <w:szCs w:val="24"/>
        </w:rPr>
        <w:t>{FDEP project manager email}</w:t>
      </w:r>
      <w:r w:rsidR="003B7873">
        <w:rPr>
          <w:rFonts w:eastAsia="Times New Roman" w:cs="Times New Roman"/>
          <w:color w:val="0000FF"/>
          <w:sz w:val="24"/>
          <w:szCs w:val="24"/>
        </w:rPr>
        <w:t>.</w:t>
      </w:r>
      <w:r w:rsidRPr="001426AD">
        <w:rPr>
          <w:rFonts w:eastAsia="Times New Roman" w:cs="Times New Roman"/>
          <w:sz w:val="24"/>
          <w:szCs w:val="24"/>
        </w:rPr>
        <w:t xml:space="preserve"> The FDEP will complete evaluation of the </w:t>
      </w:r>
      <w:r w:rsidRPr="001426AD">
        <w:rPr>
          <w:rFonts w:eastAsia="Times New Roman" w:cs="Times New Roman"/>
          <w:color w:val="0000FF"/>
          <w:sz w:val="24"/>
          <w:szCs w:val="24"/>
        </w:rPr>
        <w:t xml:space="preserve">{RAP </w:t>
      </w:r>
      <w:r w:rsidRPr="001426AD">
        <w:rPr>
          <w:rFonts w:eastAsia="Times New Roman" w:cs="Times New Roman"/>
          <w:color w:val="000000" w:themeColor="text1"/>
          <w:sz w:val="24"/>
          <w:szCs w:val="24"/>
          <w:u w:val="single"/>
        </w:rPr>
        <w:t>or</w:t>
      </w:r>
      <w:r w:rsidRPr="001426AD">
        <w:rPr>
          <w:rFonts w:eastAsia="Times New Roman" w:cs="Times New Roman"/>
          <w:color w:val="000000" w:themeColor="text1"/>
          <w:sz w:val="24"/>
          <w:szCs w:val="24"/>
        </w:rPr>
        <w:t xml:space="preserve"> </w:t>
      </w:r>
      <w:r w:rsidRPr="001426AD">
        <w:rPr>
          <w:rFonts w:eastAsia="Times New Roman" w:cs="Times New Roman"/>
          <w:color w:val="0000FF"/>
          <w:sz w:val="24"/>
          <w:szCs w:val="24"/>
        </w:rPr>
        <w:t>NAMP}</w:t>
      </w:r>
      <w:r w:rsidRPr="001426AD">
        <w:rPr>
          <w:rFonts w:eastAsia="Times New Roman" w:cs="Times New Roman"/>
          <w:sz w:val="24"/>
          <w:szCs w:val="24"/>
        </w:rPr>
        <w:t xml:space="preserve"> submittal after the end of the 30-day comment period</w:t>
      </w:r>
      <w:r w:rsidR="003B7873">
        <w:rPr>
          <w:rFonts w:eastAsia="Times New Roman" w:cs="Times New Roman"/>
          <w:sz w:val="24"/>
          <w:szCs w:val="24"/>
        </w:rPr>
        <w:t>.</w:t>
      </w:r>
      <w:r w:rsidRPr="001426AD">
        <w:rPr>
          <w:rFonts w:eastAsia="Times New Roman" w:cs="Times New Roman"/>
          <w:sz w:val="24"/>
          <w:szCs w:val="24"/>
        </w:rPr>
        <w:t xml:space="preserve"> </w:t>
      </w:r>
    </w:p>
    <w:p w14:paraId="4B20BD22" w14:textId="77777777" w:rsidR="009805F4" w:rsidRPr="001426AD" w:rsidRDefault="009805F4" w:rsidP="009805F4">
      <w:pPr>
        <w:spacing w:after="0" w:line="240" w:lineRule="auto"/>
        <w:rPr>
          <w:rFonts w:eastAsia="Times New Roman" w:cs="Times New Roman"/>
          <w:sz w:val="24"/>
          <w:szCs w:val="24"/>
        </w:rPr>
      </w:pPr>
    </w:p>
    <w:p w14:paraId="4204A5C1" w14:textId="1C2A5419" w:rsidR="009805F4" w:rsidRPr="001426AD" w:rsidRDefault="009805F4" w:rsidP="009805F4">
      <w:pPr>
        <w:autoSpaceDE w:val="0"/>
        <w:autoSpaceDN w:val="0"/>
        <w:adjustRightInd w:val="0"/>
        <w:spacing w:after="0" w:line="240" w:lineRule="auto"/>
        <w:rPr>
          <w:rFonts w:eastAsia="Times New Roman" w:cs="Times New Roman"/>
          <w:color w:val="000000"/>
          <w:sz w:val="24"/>
          <w:szCs w:val="24"/>
        </w:rPr>
      </w:pPr>
      <w:r w:rsidRPr="001426AD">
        <w:rPr>
          <w:rFonts w:eastAsia="Times New Roman" w:cs="Arial"/>
          <w:color w:val="000000"/>
          <w:sz w:val="24"/>
          <w:szCs w:val="24"/>
        </w:rPr>
        <w:t>Please feel free to contact the undersigned for further information about this notice letter.</w:t>
      </w:r>
      <w:r w:rsidR="00FA749E">
        <w:rPr>
          <w:rFonts w:eastAsia="Times New Roman" w:cs="Arial"/>
          <w:color w:val="000000"/>
          <w:sz w:val="24"/>
          <w:szCs w:val="24"/>
        </w:rPr>
        <w:t xml:space="preserve"> </w:t>
      </w:r>
      <w:r w:rsidRPr="001426AD">
        <w:rPr>
          <w:rFonts w:eastAsia="Times New Roman" w:cs="Arial"/>
          <w:color w:val="000000"/>
          <w:sz w:val="24"/>
          <w:szCs w:val="24"/>
        </w:rPr>
        <w:t xml:space="preserve">Copies of documents under review and copies of any relevant documents concerning the contamination site and the proposed remedial strategy, are available for public inspection during regular business hours at </w:t>
      </w:r>
      <w:r w:rsidR="00C93CA0">
        <w:rPr>
          <w:rFonts w:eastAsia="Times New Roman" w:cs="Arial"/>
          <w:color w:val="000000"/>
          <w:sz w:val="24"/>
          <w:szCs w:val="24"/>
        </w:rPr>
        <w:t>FDEP</w:t>
      </w:r>
      <w:r w:rsidRPr="001426AD">
        <w:rPr>
          <w:rFonts w:eastAsia="Times New Roman" w:cs="Arial"/>
          <w:color w:val="000000"/>
          <w:sz w:val="24"/>
          <w:szCs w:val="24"/>
        </w:rPr>
        <w:t>’s Tallahassee Office located at the address identified above for TPOC comments.</w:t>
      </w:r>
      <w:r w:rsidR="00FA749E">
        <w:rPr>
          <w:rFonts w:eastAsia="Times New Roman" w:cs="Arial"/>
          <w:color w:val="000000"/>
          <w:sz w:val="24"/>
          <w:szCs w:val="24"/>
        </w:rPr>
        <w:t xml:space="preserve"> </w:t>
      </w:r>
      <w:r w:rsidRPr="001426AD">
        <w:rPr>
          <w:rFonts w:eastAsia="Times New Roman" w:cs="Times New Roman"/>
          <w:color w:val="000000"/>
          <w:sz w:val="24"/>
          <w:szCs w:val="24"/>
        </w:rPr>
        <w:t>Copies of documents are also available through the FDEP’s Oculus™ electronic filing system at</w:t>
      </w:r>
      <w:r w:rsidR="003B7873">
        <w:rPr>
          <w:rFonts w:eastAsia="Times New Roman" w:cs="Times New Roman"/>
          <w:color w:val="000000"/>
          <w:sz w:val="24"/>
          <w:szCs w:val="24"/>
        </w:rPr>
        <w:t xml:space="preserve"> </w:t>
      </w:r>
      <w:hyperlink r:id="rId12" w:history="1">
        <w:r w:rsidR="003B7873" w:rsidRPr="003B7873">
          <w:rPr>
            <w:rStyle w:val="Hyperlink"/>
            <w:rFonts w:eastAsia="Times New Roman" w:cs="Times New Roman"/>
            <w:szCs w:val="24"/>
          </w:rPr>
          <w:t>http://dwmedms.dep.state.fl.us/Oculus/servlet/login</w:t>
        </w:r>
      </w:hyperlink>
      <w:r w:rsidRPr="001426AD">
        <w:rPr>
          <w:rFonts w:eastAsia="Times New Roman" w:cs="Times New Roman"/>
          <w:color w:val="000000"/>
          <w:sz w:val="24"/>
          <w:szCs w:val="24"/>
        </w:rPr>
        <w:t xml:space="preserve">. The FDEP Site ID Number for the contaminated site is </w:t>
      </w:r>
      <w:r w:rsidRPr="001426AD">
        <w:rPr>
          <w:rFonts w:eastAsia="Times New Roman" w:cs="Times New Roman"/>
          <w:color w:val="0000FF"/>
          <w:sz w:val="24"/>
          <w:szCs w:val="24"/>
        </w:rPr>
        <w:t>{XXXX}</w:t>
      </w:r>
      <w:r w:rsidRPr="001426AD">
        <w:rPr>
          <w:rFonts w:eastAsia="Times New Roman" w:cs="Times New Roman"/>
          <w:color w:val="000000"/>
          <w:sz w:val="24"/>
          <w:szCs w:val="24"/>
        </w:rPr>
        <w:t>.</w:t>
      </w:r>
    </w:p>
    <w:p w14:paraId="4757C63D" w14:textId="77777777" w:rsidR="009805F4" w:rsidRPr="001426AD" w:rsidRDefault="009805F4" w:rsidP="009805F4">
      <w:pPr>
        <w:spacing w:after="0" w:line="240" w:lineRule="auto"/>
        <w:rPr>
          <w:rFonts w:eastAsia="Times New Roman" w:cs="Times New Roman"/>
          <w:sz w:val="24"/>
          <w:szCs w:val="24"/>
        </w:rPr>
      </w:pPr>
    </w:p>
    <w:p w14:paraId="0D5CE5EF" w14:textId="77777777" w:rsidR="009805F4" w:rsidRPr="001426AD" w:rsidRDefault="009805F4" w:rsidP="009805F4">
      <w:pPr>
        <w:spacing w:after="0" w:line="240" w:lineRule="auto"/>
        <w:rPr>
          <w:rFonts w:eastAsia="Times New Roman" w:cs="Arial"/>
          <w:sz w:val="24"/>
          <w:szCs w:val="24"/>
        </w:rPr>
      </w:pPr>
    </w:p>
    <w:p w14:paraId="3FEDB826" w14:textId="77777777" w:rsidR="009805F4" w:rsidRPr="001426AD" w:rsidRDefault="009805F4" w:rsidP="009805F4">
      <w:pPr>
        <w:spacing w:after="0" w:line="240" w:lineRule="auto"/>
        <w:rPr>
          <w:rFonts w:eastAsia="Times New Roman" w:cs="Arial"/>
          <w:sz w:val="24"/>
          <w:szCs w:val="24"/>
        </w:rPr>
      </w:pPr>
      <w:r w:rsidRPr="001426AD">
        <w:rPr>
          <w:rFonts w:eastAsia="Times New Roman" w:cs="Arial"/>
          <w:sz w:val="24"/>
          <w:szCs w:val="24"/>
        </w:rPr>
        <w:t>Sincerely,</w:t>
      </w:r>
      <w:bookmarkStart w:id="0" w:name="_GoBack"/>
    </w:p>
    <w:p w14:paraId="1DBE57BC" w14:textId="77777777" w:rsidR="009805F4" w:rsidRPr="001426AD" w:rsidRDefault="009805F4" w:rsidP="009805F4">
      <w:pPr>
        <w:spacing w:after="0" w:line="240" w:lineRule="auto"/>
        <w:rPr>
          <w:rFonts w:eastAsia="Times New Roman" w:cs="Arial"/>
          <w:sz w:val="24"/>
          <w:szCs w:val="24"/>
        </w:rPr>
      </w:pPr>
    </w:p>
    <w:p w14:paraId="2A38772D" w14:textId="77777777" w:rsidR="009805F4" w:rsidRPr="001426AD" w:rsidRDefault="009805F4" w:rsidP="009805F4">
      <w:pPr>
        <w:spacing w:after="0" w:line="240" w:lineRule="auto"/>
        <w:rPr>
          <w:rFonts w:eastAsia="Times New Roman" w:cs="Arial"/>
          <w:sz w:val="24"/>
          <w:szCs w:val="24"/>
        </w:rPr>
      </w:pPr>
    </w:p>
    <w:p w14:paraId="5340D5CF" w14:textId="77777777" w:rsidR="009805F4" w:rsidRPr="001426AD" w:rsidRDefault="009805F4" w:rsidP="009805F4">
      <w:pPr>
        <w:spacing w:after="0" w:line="240" w:lineRule="auto"/>
        <w:rPr>
          <w:rFonts w:eastAsia="Times New Roman" w:cs="Arial"/>
          <w:sz w:val="24"/>
          <w:szCs w:val="24"/>
        </w:rPr>
      </w:pPr>
    </w:p>
    <w:bookmarkEnd w:id="0"/>
    <w:p w14:paraId="79574594" w14:textId="77777777" w:rsidR="009805F4" w:rsidRPr="001426AD" w:rsidRDefault="009805F4" w:rsidP="009805F4">
      <w:pPr>
        <w:spacing w:after="0" w:line="240" w:lineRule="auto"/>
        <w:rPr>
          <w:rFonts w:eastAsia="Times New Roman" w:cs="Arial"/>
          <w:sz w:val="24"/>
          <w:szCs w:val="24"/>
        </w:rPr>
      </w:pPr>
      <w:r w:rsidRPr="001426AD">
        <w:rPr>
          <w:rFonts w:eastAsia="Times New Roman" w:cs="Arial"/>
          <w:color w:val="0000FF"/>
          <w:sz w:val="24"/>
          <w:szCs w:val="24"/>
        </w:rPr>
        <w:t>{</w:t>
      </w:r>
      <w:r w:rsidR="003B7873">
        <w:rPr>
          <w:rFonts w:eastAsia="Times New Roman" w:cs="Arial"/>
          <w:color w:val="0000FF"/>
          <w:sz w:val="24"/>
          <w:szCs w:val="24"/>
        </w:rPr>
        <w:t>PRSR Representative/</w:t>
      </w:r>
      <w:r w:rsidRPr="001426AD">
        <w:rPr>
          <w:rFonts w:eastAsia="Times New Roman" w:cs="Arial"/>
          <w:color w:val="0000FF"/>
          <w:sz w:val="24"/>
          <w:szCs w:val="24"/>
        </w:rPr>
        <w:t xml:space="preserve">FDEP Project Manager} </w:t>
      </w:r>
    </w:p>
    <w:p w14:paraId="13367ACE" w14:textId="0C7107D8" w:rsidR="009805F4" w:rsidRPr="001426AD" w:rsidRDefault="003B7873" w:rsidP="009805F4">
      <w:pPr>
        <w:spacing w:after="0" w:line="240" w:lineRule="auto"/>
        <w:rPr>
          <w:rFonts w:eastAsia="Times New Roman" w:cs="Arial"/>
          <w:sz w:val="24"/>
          <w:szCs w:val="24"/>
        </w:rPr>
      </w:pPr>
      <w:r>
        <w:rPr>
          <w:rFonts w:eastAsia="Times New Roman" w:cs="Arial"/>
          <w:sz w:val="24"/>
          <w:szCs w:val="24"/>
        </w:rPr>
        <w:t>Title</w:t>
      </w:r>
    </w:p>
    <w:p w14:paraId="2C11DE2B" w14:textId="77777777" w:rsidR="009805F4" w:rsidRPr="001426AD" w:rsidRDefault="009805F4" w:rsidP="009805F4">
      <w:pPr>
        <w:spacing w:after="0" w:line="240" w:lineRule="auto"/>
        <w:rPr>
          <w:rFonts w:eastAsia="Times New Roman" w:cs="Arial"/>
          <w:sz w:val="24"/>
          <w:szCs w:val="24"/>
        </w:rPr>
      </w:pPr>
    </w:p>
    <w:p w14:paraId="4484ED57" w14:textId="1EE8FB0E" w:rsidR="003B7873" w:rsidRDefault="003B7873" w:rsidP="009805F4">
      <w:pPr>
        <w:spacing w:after="0" w:line="240" w:lineRule="auto"/>
        <w:rPr>
          <w:rFonts w:eastAsia="Times New Roman" w:cs="Times New Roman"/>
          <w:sz w:val="24"/>
          <w:szCs w:val="24"/>
        </w:rPr>
      </w:pPr>
      <w:r w:rsidRPr="003B7873">
        <w:rPr>
          <w:rFonts w:eastAsia="Times New Roman" w:cs="Times New Roman"/>
          <w:sz w:val="24"/>
          <w:szCs w:val="24"/>
        </w:rPr>
        <w:t>Attachment</w:t>
      </w:r>
      <w:r>
        <w:rPr>
          <w:rFonts w:eastAsia="Times New Roman" w:cs="Times New Roman"/>
          <w:sz w:val="24"/>
          <w:szCs w:val="24"/>
        </w:rPr>
        <w:t>:</w:t>
      </w:r>
      <w:r w:rsidRPr="003B7873">
        <w:rPr>
          <w:rFonts w:eastAsia="Times New Roman" w:cs="Times New Roman"/>
          <w:sz w:val="24"/>
          <w:szCs w:val="24"/>
        </w:rPr>
        <w:t xml:space="preserve"> </w:t>
      </w:r>
      <w:r w:rsidRPr="003B7873">
        <w:rPr>
          <w:rFonts w:eastAsia="Times New Roman" w:cs="Times New Roman"/>
          <w:color w:val="0000FF"/>
          <w:sz w:val="24"/>
          <w:szCs w:val="24"/>
        </w:rPr>
        <w:t xml:space="preserve">{map showing area of contamination and location of proposed TPOC </w:t>
      </w:r>
      <w:r w:rsidRPr="003B7873">
        <w:rPr>
          <w:rFonts w:eastAsia="Times New Roman" w:cs="Times New Roman"/>
          <w:b/>
          <w:bCs/>
          <w:sz w:val="24"/>
          <w:szCs w:val="24"/>
        </w:rPr>
        <w:t>(write ‘TPOC’ on the map, in red, next to the location of proposed TPOC line)</w:t>
      </w:r>
      <w:r w:rsidRPr="003B7873">
        <w:rPr>
          <w:rFonts w:eastAsia="Times New Roman" w:cs="Times New Roman"/>
          <w:color w:val="0000FF"/>
          <w:sz w:val="24"/>
          <w:szCs w:val="24"/>
        </w:rPr>
        <w:t>}</w:t>
      </w:r>
    </w:p>
    <w:p w14:paraId="0C63808A" w14:textId="77777777" w:rsidR="009805F4" w:rsidRPr="001426AD" w:rsidRDefault="009805F4" w:rsidP="009805F4">
      <w:pPr>
        <w:spacing w:after="0" w:line="240" w:lineRule="auto"/>
        <w:rPr>
          <w:rFonts w:eastAsia="Times New Roman" w:cs="Arial"/>
          <w:sz w:val="24"/>
          <w:szCs w:val="24"/>
        </w:rPr>
      </w:pPr>
      <w:r w:rsidRPr="001426AD">
        <w:rPr>
          <w:rFonts w:eastAsia="Times New Roman" w:cs="Arial"/>
          <w:sz w:val="24"/>
          <w:szCs w:val="24"/>
        </w:rPr>
        <w:t xml:space="preserve"> </w:t>
      </w:r>
    </w:p>
    <w:p w14:paraId="7FFD3F76" w14:textId="26CE7C75" w:rsidR="00913800" w:rsidRDefault="009805F4" w:rsidP="00913800">
      <w:pPr>
        <w:tabs>
          <w:tab w:val="left" w:pos="540"/>
        </w:tabs>
        <w:spacing w:after="0" w:line="240" w:lineRule="auto"/>
        <w:ind w:left="810" w:hanging="810"/>
        <w:rPr>
          <w:rFonts w:eastAsia="Times New Roman" w:cs="Arial"/>
          <w:sz w:val="24"/>
          <w:szCs w:val="24"/>
        </w:rPr>
      </w:pPr>
      <w:r w:rsidRPr="001426AD">
        <w:rPr>
          <w:rFonts w:eastAsia="Times New Roman" w:cs="Arial"/>
          <w:sz w:val="24"/>
          <w:szCs w:val="24"/>
        </w:rPr>
        <w:t>cc:</w:t>
      </w:r>
      <w:r w:rsidRPr="001426AD">
        <w:rPr>
          <w:rFonts w:eastAsia="Times New Roman" w:cs="Arial"/>
          <w:sz w:val="24"/>
          <w:szCs w:val="24"/>
        </w:rPr>
        <w:tab/>
      </w:r>
      <w:r w:rsidR="003B7873" w:rsidRPr="003B7873">
        <w:rPr>
          <w:rFonts w:eastAsia="Times New Roman" w:cs="Arial"/>
          <w:color w:val="0000FF"/>
          <w:sz w:val="24"/>
          <w:szCs w:val="24"/>
        </w:rPr>
        <w:t>{FDEP Program Contact Name}</w:t>
      </w:r>
    </w:p>
    <w:p w14:paraId="5A8953AB" w14:textId="77777777" w:rsidR="00913800" w:rsidRDefault="00913800">
      <w:pPr>
        <w:rPr>
          <w:rFonts w:eastAsia="Times New Roman" w:cs="Arial"/>
          <w:sz w:val="24"/>
          <w:szCs w:val="24"/>
        </w:rPr>
      </w:pPr>
      <w:r>
        <w:rPr>
          <w:rFonts w:eastAsia="Times New Roman" w:cs="Arial"/>
          <w:sz w:val="24"/>
          <w:szCs w:val="24"/>
        </w:rPr>
        <w:br w:type="page"/>
      </w:r>
    </w:p>
    <w:p w14:paraId="231990A3" w14:textId="77777777" w:rsidR="00C942DC" w:rsidRPr="00EE4197" w:rsidRDefault="00C942DC" w:rsidP="00913800">
      <w:pPr>
        <w:tabs>
          <w:tab w:val="left" w:pos="540"/>
        </w:tabs>
        <w:spacing w:after="0" w:line="240" w:lineRule="auto"/>
        <w:ind w:left="810" w:hanging="810"/>
        <w:rPr>
          <w:sz w:val="20"/>
          <w:szCs w:val="20"/>
        </w:rPr>
        <w:sectPr w:rsidR="00C942DC" w:rsidRPr="00EE4197" w:rsidSect="00DA2959">
          <w:headerReference w:type="default" r:id="rId13"/>
          <w:footerReference w:type="default" r:id="rId14"/>
          <w:headerReference w:type="first" r:id="rId15"/>
          <w:pgSz w:w="12240" w:h="15840"/>
          <w:pgMar w:top="1440" w:right="1440" w:bottom="1440" w:left="1501" w:header="270" w:footer="720" w:gutter="0"/>
          <w:cols w:space="720"/>
          <w:titlePg/>
          <w:docGrid w:linePitch="360"/>
        </w:sectPr>
      </w:pPr>
    </w:p>
    <w:p w14:paraId="3178907F" w14:textId="77777777" w:rsidR="00C942DC" w:rsidRPr="00EE4197" w:rsidRDefault="00C942DC" w:rsidP="007F56E1">
      <w:pPr>
        <w:jc w:val="center"/>
        <w:rPr>
          <w:rFonts w:cs="Times New Roman"/>
          <w:sz w:val="36"/>
          <w:szCs w:val="36"/>
        </w:rPr>
      </w:pPr>
      <w:r w:rsidRPr="00EE4197">
        <w:rPr>
          <w:rFonts w:cs="Times New Roman"/>
          <w:sz w:val="36"/>
          <w:szCs w:val="36"/>
        </w:rPr>
        <w:lastRenderedPageBreak/>
        <w:t xml:space="preserve">Notice of the Establishment of a Temporary Point of Compliance for a contaminated site, the source of which is located at </w:t>
      </w:r>
      <w:r w:rsidR="00521CCA" w:rsidRPr="00EE4197">
        <w:rPr>
          <w:rFonts w:cs="Times New Roman"/>
          <w:sz w:val="36"/>
          <w:szCs w:val="36"/>
        </w:rPr>
        <w:t>{</w:t>
      </w:r>
      <w:r w:rsidRPr="00EE4197">
        <w:rPr>
          <w:rFonts w:cs="Times New Roman"/>
          <w:sz w:val="36"/>
          <w:szCs w:val="36"/>
        </w:rPr>
        <w:t>ADDRESS</w:t>
      </w:r>
      <w:r w:rsidR="00521CCA" w:rsidRPr="00EE4197">
        <w:rPr>
          <w:rFonts w:cs="Times New Roman"/>
          <w:sz w:val="36"/>
          <w:szCs w:val="36"/>
        </w:rPr>
        <w:t>}</w:t>
      </w:r>
      <w:r w:rsidRPr="00EE4197">
        <w:rPr>
          <w:rFonts w:cs="Times New Roman"/>
          <w:sz w:val="36"/>
          <w:szCs w:val="36"/>
        </w:rPr>
        <w:t xml:space="preserve">, </w:t>
      </w:r>
      <w:r w:rsidR="00521CCA" w:rsidRPr="00EE4197">
        <w:rPr>
          <w:rFonts w:cs="Times New Roman"/>
          <w:sz w:val="36"/>
          <w:szCs w:val="36"/>
        </w:rPr>
        <w:t>{</w:t>
      </w:r>
      <w:r w:rsidRPr="00EE4197">
        <w:rPr>
          <w:rFonts w:cs="Times New Roman"/>
          <w:sz w:val="36"/>
          <w:szCs w:val="36"/>
        </w:rPr>
        <w:t>CITY</w:t>
      </w:r>
      <w:r w:rsidR="00521CCA" w:rsidRPr="00EE4197">
        <w:rPr>
          <w:rFonts w:cs="Times New Roman"/>
          <w:sz w:val="36"/>
          <w:szCs w:val="36"/>
        </w:rPr>
        <w:t>}</w:t>
      </w:r>
      <w:r w:rsidRPr="00EE4197">
        <w:rPr>
          <w:rFonts w:cs="Times New Roman"/>
          <w:sz w:val="36"/>
          <w:szCs w:val="36"/>
        </w:rPr>
        <w:t xml:space="preserve">, </w:t>
      </w:r>
      <w:r w:rsidR="00521CCA" w:rsidRPr="00EE4197">
        <w:rPr>
          <w:rFonts w:cs="Times New Roman"/>
          <w:sz w:val="36"/>
          <w:szCs w:val="36"/>
        </w:rPr>
        <w:t>{</w:t>
      </w:r>
      <w:r w:rsidRPr="00EE4197">
        <w:rPr>
          <w:rFonts w:cs="Times New Roman"/>
          <w:sz w:val="36"/>
          <w:szCs w:val="36"/>
        </w:rPr>
        <w:t>COUNTY</w:t>
      </w:r>
      <w:r w:rsidR="00521CCA" w:rsidRPr="00EE4197">
        <w:rPr>
          <w:rFonts w:cs="Times New Roman"/>
          <w:sz w:val="36"/>
          <w:szCs w:val="36"/>
        </w:rPr>
        <w:t>}</w:t>
      </w:r>
      <w:r w:rsidRPr="00EE4197">
        <w:rPr>
          <w:rFonts w:cs="Times New Roman"/>
          <w:sz w:val="36"/>
          <w:szCs w:val="36"/>
        </w:rPr>
        <w:t xml:space="preserve">, </w:t>
      </w:r>
      <w:r w:rsidR="00A222A0" w:rsidRPr="00EE4197">
        <w:rPr>
          <w:rFonts w:cs="Times New Roman"/>
          <w:sz w:val="36"/>
          <w:szCs w:val="36"/>
        </w:rPr>
        <w:t>F</w:t>
      </w:r>
      <w:r w:rsidRPr="00EE4197">
        <w:rPr>
          <w:rFonts w:cs="Times New Roman"/>
          <w:sz w:val="36"/>
          <w:szCs w:val="36"/>
        </w:rPr>
        <w:t>lorida</w:t>
      </w:r>
    </w:p>
    <w:p w14:paraId="794C3113" w14:textId="77777777" w:rsidR="00C942DC" w:rsidRPr="00EE4197" w:rsidRDefault="00C942DC" w:rsidP="00C942DC">
      <w:pPr>
        <w:spacing w:after="0" w:line="240" w:lineRule="atLeast"/>
        <w:ind w:right="-61" w:hanging="10"/>
        <w:jc w:val="both"/>
        <w:rPr>
          <w:rFonts w:eastAsia="Calibri" w:cs="Times New Roman"/>
          <w:sz w:val="20"/>
          <w:szCs w:val="20"/>
        </w:rPr>
      </w:pPr>
    </w:p>
    <w:p w14:paraId="7B03970A" w14:textId="7F03602C" w:rsidR="003B7873" w:rsidRDefault="003B7873" w:rsidP="003B7873">
      <w:pPr>
        <w:spacing w:after="0" w:line="240" w:lineRule="atLeast"/>
        <w:ind w:right="-61" w:hanging="10"/>
        <w:jc w:val="both"/>
        <w:rPr>
          <w:rFonts w:eastAsia="Calibri" w:cs="Times New Roman"/>
          <w:sz w:val="24"/>
          <w:szCs w:val="24"/>
        </w:rPr>
      </w:pPr>
      <w:r w:rsidRPr="003B7873">
        <w:rPr>
          <w:rFonts w:eastAsia="Calibri" w:cs="Times New Roman"/>
          <w:sz w:val="24"/>
          <w:szCs w:val="24"/>
        </w:rPr>
        <w:t xml:space="preserve">The </w:t>
      </w:r>
      <w:r w:rsidR="00C93CA0">
        <w:rPr>
          <w:rFonts w:eastAsia="Calibri" w:cs="Times New Roman"/>
          <w:sz w:val="24"/>
          <w:szCs w:val="24"/>
        </w:rPr>
        <w:t xml:space="preserve">Florida </w:t>
      </w:r>
      <w:r w:rsidRPr="003B7873">
        <w:rPr>
          <w:rFonts w:eastAsia="Calibri" w:cs="Times New Roman"/>
          <w:sz w:val="24"/>
          <w:szCs w:val="24"/>
        </w:rPr>
        <w:t>Department of Environmental Protection (</w:t>
      </w:r>
      <w:r w:rsidR="00C93CA0">
        <w:rPr>
          <w:rFonts w:eastAsia="Calibri" w:cs="Times New Roman"/>
          <w:sz w:val="24"/>
          <w:szCs w:val="24"/>
        </w:rPr>
        <w:t>FDEP</w:t>
      </w:r>
      <w:r w:rsidRPr="003B7873">
        <w:rPr>
          <w:rFonts w:eastAsia="Calibri" w:cs="Times New Roman"/>
          <w:sz w:val="24"/>
          <w:szCs w:val="24"/>
        </w:rPr>
        <w:t>) intends to approve the establishment of a Temporary Point of Compliance (TPOC). This TPOC is for {classes of contaminants} in {contaminated media} from operations that are located at {ADDRESS}, {CITY}, {COUNTY}, Florida. The contaminants migrated beyond the source property boundary onto the property(</w:t>
      </w:r>
      <w:proofErr w:type="spellStart"/>
      <w:r w:rsidRPr="003B7873">
        <w:rPr>
          <w:rFonts w:eastAsia="Calibri" w:cs="Times New Roman"/>
          <w:sz w:val="24"/>
          <w:szCs w:val="24"/>
        </w:rPr>
        <w:t>ies</w:t>
      </w:r>
      <w:proofErr w:type="spellEnd"/>
      <w:r w:rsidRPr="003B7873">
        <w:rPr>
          <w:rFonts w:eastAsia="Calibri" w:cs="Times New Roman"/>
          <w:sz w:val="24"/>
          <w:szCs w:val="24"/>
        </w:rPr>
        <w:t xml:space="preserve">) at the addresses listed below and shown on the map. </w:t>
      </w:r>
    </w:p>
    <w:p w14:paraId="53C665A0" w14:textId="77777777" w:rsidR="003B7873" w:rsidRPr="003B7873" w:rsidRDefault="003B7873" w:rsidP="003B7873">
      <w:pPr>
        <w:spacing w:after="0" w:line="240" w:lineRule="atLeast"/>
        <w:ind w:right="-61" w:hanging="10"/>
        <w:jc w:val="both"/>
        <w:rPr>
          <w:rFonts w:eastAsia="Calibri" w:cs="Times New Roman"/>
          <w:sz w:val="24"/>
          <w:szCs w:val="24"/>
        </w:rPr>
      </w:pPr>
    </w:p>
    <w:p w14:paraId="7D3582DD" w14:textId="77777777" w:rsidR="003B7873" w:rsidRDefault="003B7873" w:rsidP="003B7873">
      <w:pPr>
        <w:spacing w:after="0" w:line="240" w:lineRule="atLeast"/>
        <w:ind w:right="-61" w:hanging="10"/>
        <w:jc w:val="both"/>
        <w:rPr>
          <w:rFonts w:eastAsia="Calibri" w:cs="Times New Roman"/>
          <w:sz w:val="24"/>
          <w:szCs w:val="24"/>
        </w:rPr>
      </w:pPr>
      <w:r w:rsidRPr="003B7873">
        <w:rPr>
          <w:rFonts w:eastAsia="Calibri" w:cs="Times New Roman"/>
          <w:sz w:val="24"/>
          <w:szCs w:val="24"/>
        </w:rPr>
        <w:t xml:space="preserve">{List of properties} </w:t>
      </w:r>
    </w:p>
    <w:p w14:paraId="08EA4D07" w14:textId="77777777" w:rsidR="003B7873" w:rsidRPr="003B7873" w:rsidRDefault="003B7873" w:rsidP="003B7873">
      <w:pPr>
        <w:spacing w:after="0" w:line="240" w:lineRule="atLeast"/>
        <w:ind w:right="-61" w:hanging="10"/>
        <w:jc w:val="both"/>
        <w:rPr>
          <w:rFonts w:eastAsia="Calibri" w:cs="Times New Roman"/>
          <w:sz w:val="24"/>
          <w:szCs w:val="24"/>
        </w:rPr>
      </w:pPr>
    </w:p>
    <w:p w14:paraId="1F99B905" w14:textId="3F8D7830" w:rsidR="003B7873" w:rsidRDefault="003B7873" w:rsidP="003B7873">
      <w:pPr>
        <w:spacing w:after="0" w:line="240" w:lineRule="atLeast"/>
        <w:ind w:right="-61" w:hanging="10"/>
        <w:jc w:val="both"/>
        <w:rPr>
          <w:rFonts w:eastAsia="Calibri" w:cs="Times New Roman"/>
          <w:sz w:val="24"/>
          <w:szCs w:val="24"/>
        </w:rPr>
      </w:pPr>
      <w:r w:rsidRPr="003B7873">
        <w:rPr>
          <w:rFonts w:eastAsia="Calibri" w:cs="Times New Roman"/>
          <w:sz w:val="24"/>
          <w:szCs w:val="24"/>
        </w:rPr>
        <w:t xml:space="preserve">The Person Responsible for the Site Rehabilitation of this Contaminated Site is {NAME OF PRSR}, whose address is {ADDRESS}, {CITY}, FL {ZIP CODE} (“PRSR”). The entire contaminated area, which may include multiple properties, is called the “Contaminated Site.” </w:t>
      </w:r>
      <w:r w:rsidR="00C93CA0">
        <w:rPr>
          <w:rFonts w:eastAsia="Calibri" w:cs="Times New Roman"/>
          <w:sz w:val="24"/>
          <w:szCs w:val="24"/>
        </w:rPr>
        <w:t>FDEP</w:t>
      </w:r>
      <w:r w:rsidRPr="003B7873">
        <w:rPr>
          <w:rFonts w:eastAsia="Calibri" w:cs="Times New Roman"/>
          <w:sz w:val="24"/>
          <w:szCs w:val="24"/>
        </w:rPr>
        <w:t xml:space="preserve"> is in the process of reviewing a {remedial action plan or natural attenuation monitoring plan} involving remediation of groundwater contamination that requires establishment of a temporary point of compliance extending onto the property(</w:t>
      </w:r>
      <w:proofErr w:type="spellStart"/>
      <w:r w:rsidRPr="003B7873">
        <w:rPr>
          <w:rFonts w:eastAsia="Calibri" w:cs="Times New Roman"/>
          <w:sz w:val="24"/>
          <w:szCs w:val="24"/>
        </w:rPr>
        <w:t>ies</w:t>
      </w:r>
      <w:proofErr w:type="spellEnd"/>
      <w:r w:rsidRPr="003B7873">
        <w:rPr>
          <w:rFonts w:eastAsia="Calibri" w:cs="Times New Roman"/>
          <w:sz w:val="24"/>
          <w:szCs w:val="24"/>
        </w:rPr>
        <w:t>) lis</w:t>
      </w:r>
      <w:r>
        <w:rPr>
          <w:rFonts w:eastAsia="Calibri" w:cs="Times New Roman"/>
          <w:sz w:val="24"/>
          <w:szCs w:val="24"/>
        </w:rPr>
        <w:t>ted above and shown on the map.</w:t>
      </w:r>
    </w:p>
    <w:p w14:paraId="675BC67C" w14:textId="77777777" w:rsidR="003B7873" w:rsidRPr="003B7873" w:rsidRDefault="003B7873" w:rsidP="003B7873">
      <w:pPr>
        <w:spacing w:after="0" w:line="240" w:lineRule="atLeast"/>
        <w:ind w:right="-61" w:hanging="10"/>
        <w:jc w:val="both"/>
        <w:rPr>
          <w:rFonts w:eastAsia="Calibri" w:cs="Times New Roman"/>
          <w:sz w:val="24"/>
          <w:szCs w:val="24"/>
        </w:rPr>
      </w:pPr>
    </w:p>
    <w:p w14:paraId="46DA82CD" w14:textId="31489B2F" w:rsidR="003B7873" w:rsidRDefault="003B7873" w:rsidP="003B7873">
      <w:pPr>
        <w:spacing w:after="0" w:line="240" w:lineRule="atLeast"/>
        <w:ind w:right="-61" w:hanging="10"/>
        <w:jc w:val="both"/>
        <w:rPr>
          <w:rFonts w:eastAsia="Calibri" w:cs="Times New Roman"/>
          <w:sz w:val="24"/>
          <w:szCs w:val="24"/>
        </w:rPr>
      </w:pPr>
      <w:r w:rsidRPr="003B7873">
        <w:rPr>
          <w:rFonts w:eastAsia="Calibri" w:cs="Times New Roman"/>
          <w:sz w:val="24"/>
          <w:szCs w:val="24"/>
        </w:rPr>
        <w:t xml:space="preserve">Copies of any relevant documents concerning the Contaminated Site and the proposed remedial strategy, including the establishment of a temporary point of compliance, are available for public inspection during regular business hours at </w:t>
      </w:r>
      <w:r w:rsidR="00C93CA0">
        <w:rPr>
          <w:rFonts w:eastAsia="Calibri" w:cs="Times New Roman"/>
          <w:sz w:val="24"/>
          <w:szCs w:val="24"/>
        </w:rPr>
        <w:t>FDEP</w:t>
      </w:r>
      <w:r w:rsidRPr="003B7873">
        <w:rPr>
          <w:rFonts w:eastAsia="Calibri" w:cs="Times New Roman"/>
          <w:sz w:val="24"/>
          <w:szCs w:val="24"/>
        </w:rPr>
        <w:t xml:space="preserve">’s {District} District Office located at {District address}. Copies of documents are also available through the FDEP’s Oculus™ electronic filing system at </w:t>
      </w:r>
      <w:hyperlink r:id="rId16" w:history="1">
        <w:r w:rsidR="00C93CA0" w:rsidRPr="00AA3975">
          <w:rPr>
            <w:rStyle w:val="Hyperlink"/>
            <w:rFonts w:eastAsia="Calibri" w:cs="Times New Roman"/>
            <w:sz w:val="24"/>
            <w:szCs w:val="24"/>
          </w:rPr>
          <w:t>http://dwmedms.dep.state.fl.us/Oculus/servlet/login</w:t>
        </w:r>
      </w:hyperlink>
      <w:r w:rsidRPr="003B7873">
        <w:rPr>
          <w:rFonts w:eastAsia="Calibri" w:cs="Times New Roman"/>
          <w:sz w:val="24"/>
          <w:szCs w:val="24"/>
        </w:rPr>
        <w:t xml:space="preserve">. The FDEP Site ID Number for the Contaminated Site is {XXXX}. </w:t>
      </w:r>
    </w:p>
    <w:p w14:paraId="47D8C0B3" w14:textId="77777777" w:rsidR="003B7873" w:rsidRPr="003B7873" w:rsidRDefault="003B7873" w:rsidP="003B7873">
      <w:pPr>
        <w:spacing w:after="0" w:line="240" w:lineRule="atLeast"/>
        <w:ind w:right="-61" w:hanging="10"/>
        <w:jc w:val="both"/>
        <w:rPr>
          <w:rFonts w:eastAsia="Calibri" w:cs="Times New Roman"/>
          <w:sz w:val="24"/>
          <w:szCs w:val="24"/>
        </w:rPr>
      </w:pPr>
    </w:p>
    <w:p w14:paraId="76319DD4" w14:textId="092216E8" w:rsidR="009413B6" w:rsidRPr="00EE4197" w:rsidRDefault="00C93CA0" w:rsidP="003B7873">
      <w:pPr>
        <w:spacing w:after="0" w:line="240" w:lineRule="atLeast"/>
        <w:ind w:right="-61" w:hanging="10"/>
        <w:jc w:val="both"/>
        <w:rPr>
          <w:rFonts w:eastAsia="Calibri" w:cs="Times New Roman"/>
          <w:sz w:val="24"/>
          <w:szCs w:val="24"/>
        </w:rPr>
      </w:pPr>
      <w:r>
        <w:rPr>
          <w:rFonts w:eastAsia="Calibri" w:cs="Times New Roman"/>
          <w:sz w:val="24"/>
          <w:szCs w:val="24"/>
        </w:rPr>
        <w:t>FDEP</w:t>
      </w:r>
      <w:r w:rsidR="003B7873" w:rsidRPr="003B7873">
        <w:rPr>
          <w:rFonts w:eastAsia="Calibri" w:cs="Times New Roman"/>
          <w:sz w:val="24"/>
          <w:szCs w:val="24"/>
        </w:rPr>
        <w:t xml:space="preserve"> project manager for the site rehabilitation is {FDEP staff name} who may be contacted at {Address}. Please direct any written comments regarding this notice, the remedial strategy or requests for copies of </w:t>
      </w:r>
      <w:r>
        <w:rPr>
          <w:rFonts w:eastAsia="Calibri" w:cs="Times New Roman"/>
          <w:sz w:val="24"/>
          <w:szCs w:val="24"/>
        </w:rPr>
        <w:t>FDEP</w:t>
      </w:r>
      <w:r w:rsidR="003B7873" w:rsidRPr="003B7873">
        <w:rPr>
          <w:rFonts w:eastAsia="Calibri" w:cs="Times New Roman"/>
          <w:sz w:val="24"/>
          <w:szCs w:val="24"/>
        </w:rPr>
        <w:t xml:space="preserve">’s actions regarding the Contaminated Site to the FDEP project manager or submit comments via e-mail to {FDEP project manager email address}. Persons receiving this notice shall have the opportunity to comment on the proposed action within 30 days of the date of the publication of this Notice. </w:t>
      </w:r>
    </w:p>
    <w:sectPr w:rsidR="009413B6" w:rsidRPr="00EE4197" w:rsidSect="00EB0318">
      <w:headerReference w:type="default" r:id="rId17"/>
      <w:footerReference w:type="default" r:id="rId18"/>
      <w:pgSz w:w="12240" w:h="15840"/>
      <w:pgMar w:top="1440" w:right="1440"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07590" w14:textId="77777777" w:rsidR="003A77C5" w:rsidRDefault="003A77C5" w:rsidP="00800EAB">
      <w:pPr>
        <w:spacing w:after="0" w:line="240" w:lineRule="auto"/>
      </w:pPr>
      <w:r>
        <w:separator/>
      </w:r>
    </w:p>
  </w:endnote>
  <w:endnote w:type="continuationSeparator" w:id="0">
    <w:p w14:paraId="6E967598" w14:textId="77777777" w:rsidR="003A77C5" w:rsidRDefault="003A77C5" w:rsidP="0080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06641"/>
      <w:docPartObj>
        <w:docPartGallery w:val="Page Numbers (Bottom of Page)"/>
        <w:docPartUnique/>
      </w:docPartObj>
    </w:sdtPr>
    <w:sdtEndPr/>
    <w:sdtContent>
      <w:p w14:paraId="10672D27" w14:textId="77777777" w:rsidR="002A5545" w:rsidRDefault="002A554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13BE9BD" w14:textId="77777777" w:rsidR="002A5545" w:rsidRDefault="002A5545" w:rsidP="00800EAB">
    <w:pPr>
      <w:pStyle w:val="Footer"/>
      <w:tabs>
        <w:tab w:val="clear" w:pos="4680"/>
        <w:tab w:val="clear" w:pos="9360"/>
        <w:tab w:val="left" w:pos="548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9B4A1" w14:textId="77777777" w:rsidR="002A5545" w:rsidRDefault="002A5545">
    <w:pPr>
      <w:rPr>
        <w:rFonts w:ascii="Times New Roman" w:hAnsi="Times New Roman" w:cs="Times New Roman"/>
        <w:sz w:val="20"/>
        <w:szCs w:val="20"/>
      </w:rPr>
    </w:pPr>
  </w:p>
  <w:p w14:paraId="02233C9D" w14:textId="77777777" w:rsidR="002A5545" w:rsidRDefault="002A5545">
    <w:pPr>
      <w:pStyle w:val="Footer"/>
    </w:pPr>
  </w:p>
  <w:p w14:paraId="1CD90863" w14:textId="77777777" w:rsidR="002A5545" w:rsidRDefault="002A5545" w:rsidP="00800EAB">
    <w:pPr>
      <w:pStyle w:val="Footer"/>
      <w:tabs>
        <w:tab w:val="clear" w:pos="4680"/>
        <w:tab w:val="clear" w:pos="9360"/>
        <w:tab w:val="left" w:pos="54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D82F" w14:textId="567284C3" w:rsidR="002A5545" w:rsidRPr="00564278" w:rsidRDefault="002A5545" w:rsidP="00564278">
    <w:pPr>
      <w:pStyle w:val="FootnoteText"/>
      <w:rPr>
        <w:rFonts w:ascii="Times New Roman" w:hAnsi="Times New Roman" w:cs="Times New Roman"/>
      </w:rPr>
    </w:pPr>
    <w:r w:rsidRPr="002A5545">
      <w:rPr>
        <w:rFonts w:ascii="Times New Roman" w:hAnsi="Times New Roman" w:cs="Times New Roman"/>
        <w:vertAlign w:val="superscript"/>
      </w:rPr>
      <w:t>1</w:t>
    </w:r>
    <w:r w:rsidRPr="00564278">
      <w:rPr>
        <w:rFonts w:ascii="Times New Roman" w:hAnsi="Times New Roman" w:cs="Times New Roman"/>
      </w:rPr>
      <w:t xml:space="preserve"> There is no requirement for Constructive Notice for petroleum-contaminated sites, unless they are being cleaned up pursuant to a Brownfield Site Rehabilitation Agreement.</w:t>
    </w:r>
  </w:p>
  <w:p w14:paraId="141E6289" w14:textId="77777777" w:rsidR="002A5545" w:rsidRPr="00564278" w:rsidRDefault="002A5545" w:rsidP="00640059">
    <w:pPr>
      <w:spacing w:after="0" w:line="240" w:lineRule="atLeast"/>
      <w:ind w:right="-61"/>
      <w:jc w:val="both"/>
      <w:rPr>
        <w:rFonts w:ascii="Times New Roman" w:eastAsia="Calibri"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D53E5" w14:textId="77777777" w:rsidR="003A77C5" w:rsidRDefault="003A77C5" w:rsidP="00800EAB">
      <w:pPr>
        <w:spacing w:after="0" w:line="240" w:lineRule="auto"/>
      </w:pPr>
      <w:r>
        <w:separator/>
      </w:r>
    </w:p>
  </w:footnote>
  <w:footnote w:type="continuationSeparator" w:id="0">
    <w:p w14:paraId="3D80D3A4" w14:textId="77777777" w:rsidR="003A77C5" w:rsidRDefault="003A77C5" w:rsidP="00800EAB">
      <w:pPr>
        <w:spacing w:after="0" w:line="240" w:lineRule="auto"/>
      </w:pPr>
      <w:r>
        <w:continuationSeparator/>
      </w:r>
    </w:p>
  </w:footnote>
  <w:footnote w:id="1">
    <w:p w14:paraId="77955B60" w14:textId="77777777" w:rsidR="002A5545" w:rsidRPr="00E94A6F" w:rsidRDefault="002A5545" w:rsidP="002D535E">
      <w:pPr>
        <w:pStyle w:val="FootnoteText"/>
        <w:rPr>
          <w:sz w:val="18"/>
          <w:szCs w:val="18"/>
        </w:rPr>
      </w:pPr>
      <w:r w:rsidRPr="00E94A6F">
        <w:rPr>
          <w:rStyle w:val="FootnoteReference"/>
          <w:sz w:val="18"/>
          <w:szCs w:val="18"/>
        </w:rPr>
        <w:footnoteRef/>
      </w:r>
      <w:r w:rsidRPr="00E94A6F">
        <w:rPr>
          <w:sz w:val="18"/>
          <w:szCs w:val="18"/>
        </w:rPr>
        <w:t xml:space="preserve"> There is no requirement for Constructive Notice for petroleum-contaminated sites, unless they are being cleaned up pursuant to a Brownfield Site Rehabilitation Agreement.</w:t>
      </w:r>
    </w:p>
    <w:p w14:paraId="37DF686A" w14:textId="77777777" w:rsidR="002A5545" w:rsidRPr="00E94A6F" w:rsidRDefault="002A5545">
      <w:pPr>
        <w:pStyle w:val="FootnoteText"/>
        <w:rPr>
          <w:sz w:val="18"/>
          <w:szCs w:val="18"/>
        </w:rPr>
      </w:pPr>
    </w:p>
  </w:footnote>
  <w:footnote w:id="2">
    <w:p w14:paraId="10B56BC6" w14:textId="22A3AE6A" w:rsidR="002A5545" w:rsidRDefault="002A5545">
      <w:pPr>
        <w:pStyle w:val="FootnoteText"/>
      </w:pPr>
      <w:r w:rsidRPr="00E94A6F">
        <w:rPr>
          <w:rStyle w:val="FootnoteReference"/>
          <w:sz w:val="18"/>
          <w:szCs w:val="18"/>
        </w:rPr>
        <w:footnoteRef/>
      </w:r>
      <w:r w:rsidRPr="00E94A6F">
        <w:rPr>
          <w:sz w:val="18"/>
          <w:szCs w:val="18"/>
        </w:rPr>
        <w:t xml:space="preserve"> Because at this point in the process, FDEP has not taken an agency action, this notice does not create a “point of entry” or include a notice of rights pursuant to Chapter 120, F.S.</w:t>
      </w:r>
      <w:r>
        <w:rPr>
          <w:rFonts w:ascii="Century Gothic" w:hAnsi="Century Gothic"/>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8D2C" w14:textId="77777777" w:rsidR="002A5545" w:rsidRDefault="002A5545" w:rsidP="009372AA">
    <w:pPr>
      <w:spacing w:after="0" w:line="240" w:lineRule="atLeast"/>
      <w:ind w:right="-61"/>
      <w:jc w:val="center"/>
      <w:rPr>
        <w:rFonts w:ascii="Century Gothic" w:hAnsi="Century Gothic"/>
        <w:sz w:val="20"/>
        <w:szCs w:val="20"/>
      </w:rPr>
    </w:pPr>
    <w:r>
      <w:rPr>
        <w:rFonts w:ascii="Century Gothic" w:hAnsi="Century Gothic"/>
        <w:sz w:val="20"/>
        <w:szCs w:val="20"/>
      </w:rPr>
      <w:t>Attachment 2</w:t>
    </w:r>
  </w:p>
  <w:p w14:paraId="6CD88E93" w14:textId="77777777" w:rsidR="002A5545" w:rsidRDefault="002A5545" w:rsidP="009372AA">
    <w:pPr>
      <w:spacing w:after="0" w:line="240" w:lineRule="atLeast"/>
      <w:ind w:right="-61"/>
      <w:jc w:val="center"/>
      <w:rPr>
        <w:rFonts w:ascii="Century Gothic" w:hAnsi="Century Gothic"/>
        <w:sz w:val="20"/>
        <w:szCs w:val="20"/>
      </w:rPr>
    </w:pPr>
    <w:r>
      <w:rPr>
        <w:rFonts w:ascii="Century Gothic" w:hAnsi="Century Gothic"/>
        <w:sz w:val="20"/>
        <w:szCs w:val="20"/>
      </w:rPr>
      <w:t>Notice Publication Template</w:t>
    </w:r>
  </w:p>
  <w:p w14:paraId="4AE28314" w14:textId="77777777" w:rsidR="002A5545" w:rsidRDefault="002A5545" w:rsidP="009372A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03FE" w14:textId="77777777" w:rsidR="002A5545" w:rsidRDefault="002A5545" w:rsidP="009372A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9180" w14:textId="16CA5BAB" w:rsidR="002A5545" w:rsidRDefault="002A5545" w:rsidP="00DA2959">
    <w:pPr>
      <w:pStyle w:val="Header"/>
      <w:rPr>
        <w:rFonts w:ascii="Times New Roman" w:hAnsi="Times New Roman"/>
        <w:sz w:val="24"/>
        <w:szCs w:val="24"/>
      </w:rPr>
    </w:pPr>
    <w:r w:rsidRPr="00D14214">
      <w:rPr>
        <w:rFonts w:ascii="Times New Roman" w:hAnsi="Times New Roman"/>
        <w:sz w:val="24"/>
        <w:szCs w:val="24"/>
      </w:rPr>
      <w:t xml:space="preserve">[Mr. </w:t>
    </w:r>
    <w:r w:rsidRPr="00D14214">
      <w:rPr>
        <w:rFonts w:ascii="Times New Roman" w:hAnsi="Times New Roman"/>
        <w:sz w:val="24"/>
        <w:szCs w:val="24"/>
        <w:u w:val="single"/>
      </w:rPr>
      <w:t>or</w:t>
    </w:r>
    <w:r w:rsidRPr="00D14214">
      <w:rPr>
        <w:rFonts w:ascii="Times New Roman" w:hAnsi="Times New Roman"/>
        <w:sz w:val="24"/>
        <w:szCs w:val="24"/>
      </w:rPr>
      <w:t xml:space="preserve"> Ms. </w:t>
    </w:r>
    <w:r w:rsidRPr="00D14214">
      <w:rPr>
        <w:rFonts w:ascii="Times New Roman" w:hAnsi="Times New Roman"/>
        <w:sz w:val="24"/>
        <w:szCs w:val="24"/>
        <w:u w:val="single"/>
      </w:rPr>
      <w:t>or</w:t>
    </w:r>
    <w:r w:rsidRPr="00D14214">
      <w:rPr>
        <w:rFonts w:ascii="Times New Roman" w:hAnsi="Times New Roman"/>
        <w:sz w:val="24"/>
        <w:szCs w:val="24"/>
      </w:rPr>
      <w:t xml:space="preserve"> </w:t>
    </w:r>
    <w:r>
      <w:rPr>
        <w:rFonts w:ascii="Times New Roman" w:hAnsi="Times New Roman"/>
        <w:sz w:val="24"/>
        <w:szCs w:val="24"/>
      </w:rPr>
      <w:t>Appropriate Title</w:t>
    </w:r>
    <w:r w:rsidRPr="00D14214">
      <w:rPr>
        <w:rFonts w:ascii="Times New Roman" w:hAnsi="Times New Roman"/>
        <w:sz w:val="24"/>
        <w:szCs w:val="24"/>
      </w:rPr>
      <w:t>] {Off Property Owner’s Name}</w:t>
    </w:r>
  </w:p>
  <w:p w14:paraId="66079EE5" w14:textId="77777777" w:rsidR="002A5545" w:rsidRDefault="002A5545" w:rsidP="00DA2959">
    <w:pPr>
      <w:pStyle w:val="Header"/>
      <w:rPr>
        <w:rFonts w:ascii="Times New Roman" w:hAnsi="Times New Roman"/>
        <w:sz w:val="24"/>
        <w:szCs w:val="24"/>
      </w:rPr>
    </w:pPr>
    <w:r>
      <w:rPr>
        <w:rFonts w:ascii="Times New Roman" w:hAnsi="Times New Roman"/>
        <w:sz w:val="24"/>
        <w:szCs w:val="24"/>
      </w:rPr>
      <w:t>{Site Name}</w:t>
    </w:r>
  </w:p>
  <w:p w14:paraId="4D67B2F9" w14:textId="77777777" w:rsidR="002A5545" w:rsidRPr="00DA2959" w:rsidRDefault="002A5545" w:rsidP="00DA2959">
    <w:pPr>
      <w:pStyle w:val="Header"/>
    </w:pPr>
    <w:r>
      <w:rPr>
        <w:rFonts w:ascii="Times New Roman" w:hAnsi="Times New Roman"/>
        <w:sz w:val="24"/>
        <w:szCs w:val="24"/>
      </w:rPr>
      <w:t>Page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252F" w14:textId="77777777" w:rsidR="002A5545" w:rsidRDefault="002A5545" w:rsidP="00DA2959">
    <w:pPr>
      <w:pStyle w:val="Header"/>
      <w:jc w:val="center"/>
    </w:pPr>
    <w:r>
      <w:t>Attachment 1</w:t>
    </w:r>
  </w:p>
  <w:p w14:paraId="146A4283" w14:textId="77777777" w:rsidR="002A5545" w:rsidRDefault="002A5545" w:rsidP="00DA2959">
    <w:pPr>
      <w:pStyle w:val="Header"/>
      <w:jc w:val="center"/>
    </w:pPr>
    <w:r>
      <w:t>Template for TPOC Actual Notice sent by the PRSR</w:t>
    </w:r>
  </w:p>
  <w:p w14:paraId="4B86452D" w14:textId="77777777" w:rsidR="002A5545" w:rsidRDefault="002A55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94A7" w14:textId="77777777" w:rsidR="002A5545" w:rsidRDefault="002A5545" w:rsidP="009372AA">
    <w:pPr>
      <w:spacing w:after="0" w:line="240" w:lineRule="atLeast"/>
      <w:ind w:right="-61"/>
      <w:jc w:val="center"/>
      <w:rPr>
        <w:rFonts w:ascii="Century Gothic" w:hAnsi="Century Gothic"/>
        <w:sz w:val="20"/>
        <w:szCs w:val="20"/>
      </w:rPr>
    </w:pPr>
    <w:r>
      <w:rPr>
        <w:rFonts w:ascii="Century Gothic" w:hAnsi="Century Gothic"/>
        <w:sz w:val="20"/>
        <w:szCs w:val="20"/>
      </w:rPr>
      <w:t>Attachment 2</w:t>
    </w:r>
  </w:p>
  <w:p w14:paraId="013BB43F" w14:textId="6C2B5BED" w:rsidR="002A5545" w:rsidRDefault="002A5545" w:rsidP="009372AA">
    <w:pPr>
      <w:spacing w:after="0" w:line="240" w:lineRule="atLeast"/>
      <w:ind w:right="-61"/>
      <w:jc w:val="center"/>
      <w:rPr>
        <w:rFonts w:ascii="Century Gothic" w:hAnsi="Century Gothic"/>
        <w:sz w:val="20"/>
        <w:szCs w:val="20"/>
      </w:rPr>
    </w:pPr>
    <w:r w:rsidRPr="00A222A0">
      <w:rPr>
        <w:rFonts w:ascii="Century Gothic" w:hAnsi="Century Gothic"/>
        <w:sz w:val="20"/>
        <w:szCs w:val="20"/>
      </w:rPr>
      <w:t>Template for Constructive Notice Publication</w:t>
    </w:r>
    <w:r w:rsidRPr="002A5545">
      <w:rPr>
        <w:rFonts w:ascii="Century Gothic" w:hAnsi="Century Gothic"/>
        <w:sz w:val="20"/>
        <w:szCs w:val="20"/>
        <w:vertAlign w:val="superscript"/>
      </w:rPr>
      <w:t>1</w:t>
    </w:r>
    <w:r>
      <w:rPr>
        <w:rFonts w:ascii="Century Gothic" w:hAnsi="Century Gothic"/>
        <w:sz w:val="20"/>
        <w:szCs w:val="20"/>
      </w:rPr>
      <w:t xml:space="preserve"> </w:t>
    </w:r>
  </w:p>
  <w:p w14:paraId="6A7E85BD" w14:textId="77777777" w:rsidR="002A5545" w:rsidRDefault="002A5545" w:rsidP="009372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31D"/>
    <w:multiLevelType w:val="hybridMultilevel"/>
    <w:tmpl w:val="69DEDE1C"/>
    <w:lvl w:ilvl="0" w:tplc="C8ACEF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C203FE"/>
    <w:multiLevelType w:val="hybridMultilevel"/>
    <w:tmpl w:val="60E24238"/>
    <w:lvl w:ilvl="0" w:tplc="F36E540A">
      <w:start w:val="1"/>
      <w:numFmt w:val="upperLetter"/>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31439"/>
    <w:multiLevelType w:val="hybridMultilevel"/>
    <w:tmpl w:val="B574A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E50A30C">
      <w:start w:val="3"/>
      <w:numFmt w:val="bullet"/>
      <w:lvlText w:val="•"/>
      <w:lvlJc w:val="left"/>
      <w:pPr>
        <w:ind w:left="2340" w:hanging="360"/>
      </w:pPr>
      <w:rPr>
        <w:rFonts w:ascii="Book Antiqua" w:eastAsia="Calibri" w:hAnsi="Book Antiqu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061DF"/>
    <w:multiLevelType w:val="hybridMultilevel"/>
    <w:tmpl w:val="E6B69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36695D"/>
    <w:multiLevelType w:val="hybridMultilevel"/>
    <w:tmpl w:val="629A3BC0"/>
    <w:lvl w:ilvl="0" w:tplc="DE829E60">
      <w:start w:val="1"/>
      <w:numFmt w:val="decimal"/>
      <w:lvlText w:val="%1."/>
      <w:lvlJc w:val="left"/>
      <w:pPr>
        <w:ind w:left="1440" w:hanging="360"/>
      </w:pPr>
    </w:lvl>
    <w:lvl w:ilvl="1" w:tplc="9FD8B92C">
      <w:start w:val="1"/>
      <w:numFmt w:val="lowerLetter"/>
      <w:lvlText w:val="%2."/>
      <w:lvlJc w:val="left"/>
      <w:pPr>
        <w:ind w:left="2160" w:hanging="360"/>
      </w:pPr>
      <w:rPr>
        <w:i/>
      </w:rPr>
    </w:lvl>
    <w:lvl w:ilvl="2" w:tplc="99443F94">
      <w:start w:val="1"/>
      <w:numFmt w:val="upperLetter"/>
      <w:lvlText w:val="%3."/>
      <w:lvlJc w:val="left"/>
      <w:pPr>
        <w:ind w:left="3060" w:hanging="2340"/>
      </w:pPr>
      <w:rPr>
        <w:rFonts w:ascii="Calibri" w:eastAsia="Calibri" w:hAnsi="Calibri"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5E16F2E"/>
    <w:multiLevelType w:val="hybridMultilevel"/>
    <w:tmpl w:val="E33ABB06"/>
    <w:lvl w:ilvl="0" w:tplc="AE744BC2">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99500D9"/>
    <w:multiLevelType w:val="hybridMultilevel"/>
    <w:tmpl w:val="D0365636"/>
    <w:lvl w:ilvl="0" w:tplc="3B2A35F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2535BC0"/>
    <w:multiLevelType w:val="hybridMultilevel"/>
    <w:tmpl w:val="CE16A846"/>
    <w:lvl w:ilvl="0" w:tplc="92265C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42238D"/>
    <w:multiLevelType w:val="hybridMultilevel"/>
    <w:tmpl w:val="17FA2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9255FF"/>
    <w:multiLevelType w:val="hybridMultilevel"/>
    <w:tmpl w:val="AC363B7C"/>
    <w:lvl w:ilvl="0" w:tplc="837A68F2">
      <w:start w:val="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8"/>
  </w:num>
  <w:num w:numId="7">
    <w:abstractNumId w:val="3"/>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274"/>
    <w:rsid w:val="00001D4E"/>
    <w:rsid w:val="00006637"/>
    <w:rsid w:val="0000772D"/>
    <w:rsid w:val="00012424"/>
    <w:rsid w:val="00015D84"/>
    <w:rsid w:val="00020870"/>
    <w:rsid w:val="00021B38"/>
    <w:rsid w:val="000347CB"/>
    <w:rsid w:val="00046382"/>
    <w:rsid w:val="00046503"/>
    <w:rsid w:val="00050801"/>
    <w:rsid w:val="0006703A"/>
    <w:rsid w:val="00073532"/>
    <w:rsid w:val="00077B35"/>
    <w:rsid w:val="0008112E"/>
    <w:rsid w:val="00092F5D"/>
    <w:rsid w:val="000A3F42"/>
    <w:rsid w:val="000A4541"/>
    <w:rsid w:val="000A4DEC"/>
    <w:rsid w:val="000B04DD"/>
    <w:rsid w:val="000B2972"/>
    <w:rsid w:val="000C0925"/>
    <w:rsid w:val="000C5A7E"/>
    <w:rsid w:val="000D2F4D"/>
    <w:rsid w:val="000E35DD"/>
    <w:rsid w:val="000E3CED"/>
    <w:rsid w:val="000F3D0D"/>
    <w:rsid w:val="001057A1"/>
    <w:rsid w:val="00116C36"/>
    <w:rsid w:val="001241A7"/>
    <w:rsid w:val="00126B19"/>
    <w:rsid w:val="0013466A"/>
    <w:rsid w:val="001426AD"/>
    <w:rsid w:val="00145F07"/>
    <w:rsid w:val="00154C9B"/>
    <w:rsid w:val="00180311"/>
    <w:rsid w:val="001823DA"/>
    <w:rsid w:val="0018248C"/>
    <w:rsid w:val="001851B0"/>
    <w:rsid w:val="00194B55"/>
    <w:rsid w:val="001A1428"/>
    <w:rsid w:val="001B30D7"/>
    <w:rsid w:val="001B4AED"/>
    <w:rsid w:val="001D3311"/>
    <w:rsid w:val="001F25E3"/>
    <w:rsid w:val="001F3258"/>
    <w:rsid w:val="00202C9B"/>
    <w:rsid w:val="00206A25"/>
    <w:rsid w:val="0020777A"/>
    <w:rsid w:val="00230AFA"/>
    <w:rsid w:val="00233D13"/>
    <w:rsid w:val="00236E14"/>
    <w:rsid w:val="00257297"/>
    <w:rsid w:val="002A00F0"/>
    <w:rsid w:val="002A5545"/>
    <w:rsid w:val="002A6EEB"/>
    <w:rsid w:val="002A78DE"/>
    <w:rsid w:val="002C0308"/>
    <w:rsid w:val="002C3B51"/>
    <w:rsid w:val="002C5151"/>
    <w:rsid w:val="002D535E"/>
    <w:rsid w:val="002D7D53"/>
    <w:rsid w:val="002E4454"/>
    <w:rsid w:val="002E739B"/>
    <w:rsid w:val="002F0147"/>
    <w:rsid w:val="002F118A"/>
    <w:rsid w:val="003073D8"/>
    <w:rsid w:val="0031090F"/>
    <w:rsid w:val="003134B5"/>
    <w:rsid w:val="0031569B"/>
    <w:rsid w:val="0031600A"/>
    <w:rsid w:val="00355C36"/>
    <w:rsid w:val="0036160B"/>
    <w:rsid w:val="00366AF1"/>
    <w:rsid w:val="00366EF3"/>
    <w:rsid w:val="00376FF7"/>
    <w:rsid w:val="003861F9"/>
    <w:rsid w:val="003A77C5"/>
    <w:rsid w:val="003B524F"/>
    <w:rsid w:val="003B7873"/>
    <w:rsid w:val="003C3A32"/>
    <w:rsid w:val="003E1D4E"/>
    <w:rsid w:val="003F20D3"/>
    <w:rsid w:val="003F30E6"/>
    <w:rsid w:val="003F527B"/>
    <w:rsid w:val="00423A43"/>
    <w:rsid w:val="00430253"/>
    <w:rsid w:val="00432726"/>
    <w:rsid w:val="00435908"/>
    <w:rsid w:val="004412FA"/>
    <w:rsid w:val="00452CA6"/>
    <w:rsid w:val="00462A35"/>
    <w:rsid w:val="0048226B"/>
    <w:rsid w:val="00492CE7"/>
    <w:rsid w:val="0049443A"/>
    <w:rsid w:val="004B4DE0"/>
    <w:rsid w:val="004B64D0"/>
    <w:rsid w:val="004C0B3B"/>
    <w:rsid w:val="004C277B"/>
    <w:rsid w:val="004C3790"/>
    <w:rsid w:val="004D2147"/>
    <w:rsid w:val="004D4884"/>
    <w:rsid w:val="004E01FF"/>
    <w:rsid w:val="004E480F"/>
    <w:rsid w:val="004F1840"/>
    <w:rsid w:val="00520D39"/>
    <w:rsid w:val="00521CCA"/>
    <w:rsid w:val="00542F7E"/>
    <w:rsid w:val="00545BD5"/>
    <w:rsid w:val="0055430F"/>
    <w:rsid w:val="00564278"/>
    <w:rsid w:val="005673D6"/>
    <w:rsid w:val="00570F76"/>
    <w:rsid w:val="00586D16"/>
    <w:rsid w:val="0059636D"/>
    <w:rsid w:val="0059696F"/>
    <w:rsid w:val="00596B7D"/>
    <w:rsid w:val="005973DC"/>
    <w:rsid w:val="005B0FAC"/>
    <w:rsid w:val="005B5107"/>
    <w:rsid w:val="005C3CAC"/>
    <w:rsid w:val="005C4680"/>
    <w:rsid w:val="005D2459"/>
    <w:rsid w:val="005D7AB8"/>
    <w:rsid w:val="00600288"/>
    <w:rsid w:val="006032F2"/>
    <w:rsid w:val="006151EF"/>
    <w:rsid w:val="0061521B"/>
    <w:rsid w:val="006227AD"/>
    <w:rsid w:val="00622A77"/>
    <w:rsid w:val="00635F0B"/>
    <w:rsid w:val="00637513"/>
    <w:rsid w:val="00640059"/>
    <w:rsid w:val="006427FA"/>
    <w:rsid w:val="00642DD9"/>
    <w:rsid w:val="00645A9B"/>
    <w:rsid w:val="00645B13"/>
    <w:rsid w:val="0064636E"/>
    <w:rsid w:val="006663BD"/>
    <w:rsid w:val="00675B6D"/>
    <w:rsid w:val="00697863"/>
    <w:rsid w:val="006A7329"/>
    <w:rsid w:val="006C2CAE"/>
    <w:rsid w:val="006E0390"/>
    <w:rsid w:val="006F3A1F"/>
    <w:rsid w:val="0070662B"/>
    <w:rsid w:val="0071235B"/>
    <w:rsid w:val="00717FA1"/>
    <w:rsid w:val="007211AF"/>
    <w:rsid w:val="00727476"/>
    <w:rsid w:val="00734914"/>
    <w:rsid w:val="0073754B"/>
    <w:rsid w:val="00744429"/>
    <w:rsid w:val="00746F43"/>
    <w:rsid w:val="0075159C"/>
    <w:rsid w:val="00763221"/>
    <w:rsid w:val="0076409A"/>
    <w:rsid w:val="007655D6"/>
    <w:rsid w:val="00770C32"/>
    <w:rsid w:val="00771DB0"/>
    <w:rsid w:val="00772F36"/>
    <w:rsid w:val="007779D0"/>
    <w:rsid w:val="00787B09"/>
    <w:rsid w:val="00796BA8"/>
    <w:rsid w:val="007A66EB"/>
    <w:rsid w:val="007B3438"/>
    <w:rsid w:val="007C1078"/>
    <w:rsid w:val="007C1217"/>
    <w:rsid w:val="007C2092"/>
    <w:rsid w:val="007C43B4"/>
    <w:rsid w:val="007C6FA2"/>
    <w:rsid w:val="007D3830"/>
    <w:rsid w:val="007E2A5E"/>
    <w:rsid w:val="007E4D9C"/>
    <w:rsid w:val="007E5E78"/>
    <w:rsid w:val="007F19F9"/>
    <w:rsid w:val="007F56E1"/>
    <w:rsid w:val="007F6D50"/>
    <w:rsid w:val="00800EAB"/>
    <w:rsid w:val="008034C6"/>
    <w:rsid w:val="00803C96"/>
    <w:rsid w:val="00805E0C"/>
    <w:rsid w:val="00813F4C"/>
    <w:rsid w:val="00816818"/>
    <w:rsid w:val="00817F26"/>
    <w:rsid w:val="0082348F"/>
    <w:rsid w:val="008353A1"/>
    <w:rsid w:val="00835AB5"/>
    <w:rsid w:val="00845B10"/>
    <w:rsid w:val="0085043D"/>
    <w:rsid w:val="008568F6"/>
    <w:rsid w:val="008632BD"/>
    <w:rsid w:val="0086546D"/>
    <w:rsid w:val="00880D34"/>
    <w:rsid w:val="0088149C"/>
    <w:rsid w:val="00882260"/>
    <w:rsid w:val="00887054"/>
    <w:rsid w:val="008921EC"/>
    <w:rsid w:val="008944A5"/>
    <w:rsid w:val="0089497F"/>
    <w:rsid w:val="00897425"/>
    <w:rsid w:val="008F69FD"/>
    <w:rsid w:val="009026AE"/>
    <w:rsid w:val="00906DD4"/>
    <w:rsid w:val="00913800"/>
    <w:rsid w:val="00921CE8"/>
    <w:rsid w:val="00925154"/>
    <w:rsid w:val="009362F3"/>
    <w:rsid w:val="009372AA"/>
    <w:rsid w:val="009413B6"/>
    <w:rsid w:val="0095686C"/>
    <w:rsid w:val="009759A5"/>
    <w:rsid w:val="009805F4"/>
    <w:rsid w:val="009A5D4B"/>
    <w:rsid w:val="009B30E8"/>
    <w:rsid w:val="009B5A40"/>
    <w:rsid w:val="009D7C6F"/>
    <w:rsid w:val="009E528E"/>
    <w:rsid w:val="00A0004E"/>
    <w:rsid w:val="00A007FF"/>
    <w:rsid w:val="00A11CFA"/>
    <w:rsid w:val="00A222A0"/>
    <w:rsid w:val="00A3127D"/>
    <w:rsid w:val="00A31860"/>
    <w:rsid w:val="00A319B9"/>
    <w:rsid w:val="00A539E6"/>
    <w:rsid w:val="00A55BFF"/>
    <w:rsid w:val="00A60756"/>
    <w:rsid w:val="00A62B1A"/>
    <w:rsid w:val="00A716E0"/>
    <w:rsid w:val="00A83B0E"/>
    <w:rsid w:val="00A84BE7"/>
    <w:rsid w:val="00A84FE8"/>
    <w:rsid w:val="00A8761E"/>
    <w:rsid w:val="00A91C13"/>
    <w:rsid w:val="00AA0E3B"/>
    <w:rsid w:val="00AA4209"/>
    <w:rsid w:val="00AE2738"/>
    <w:rsid w:val="00AE52B5"/>
    <w:rsid w:val="00B0030A"/>
    <w:rsid w:val="00B006B2"/>
    <w:rsid w:val="00B271B0"/>
    <w:rsid w:val="00B342C3"/>
    <w:rsid w:val="00B4037A"/>
    <w:rsid w:val="00B7153F"/>
    <w:rsid w:val="00B85A7F"/>
    <w:rsid w:val="00B87F9F"/>
    <w:rsid w:val="00B9149A"/>
    <w:rsid w:val="00B92E24"/>
    <w:rsid w:val="00B92F31"/>
    <w:rsid w:val="00BA2909"/>
    <w:rsid w:val="00BA6FCB"/>
    <w:rsid w:val="00BA7B7A"/>
    <w:rsid w:val="00BB2D51"/>
    <w:rsid w:val="00BC09D1"/>
    <w:rsid w:val="00BC7E5F"/>
    <w:rsid w:val="00BD0CE7"/>
    <w:rsid w:val="00BD1286"/>
    <w:rsid w:val="00BE3C3C"/>
    <w:rsid w:val="00BF3AFC"/>
    <w:rsid w:val="00C12EEA"/>
    <w:rsid w:val="00C13A7A"/>
    <w:rsid w:val="00C15AC2"/>
    <w:rsid w:val="00C225D4"/>
    <w:rsid w:val="00C24F4E"/>
    <w:rsid w:val="00C272C5"/>
    <w:rsid w:val="00C3253E"/>
    <w:rsid w:val="00C3598A"/>
    <w:rsid w:val="00C40B25"/>
    <w:rsid w:val="00C43E8A"/>
    <w:rsid w:val="00C61DAB"/>
    <w:rsid w:val="00C67A76"/>
    <w:rsid w:val="00C717AD"/>
    <w:rsid w:val="00C810E8"/>
    <w:rsid w:val="00C82170"/>
    <w:rsid w:val="00C93CA0"/>
    <w:rsid w:val="00C942DC"/>
    <w:rsid w:val="00CA1BB3"/>
    <w:rsid w:val="00CA1D0A"/>
    <w:rsid w:val="00CB0DBB"/>
    <w:rsid w:val="00CB110A"/>
    <w:rsid w:val="00CC5A77"/>
    <w:rsid w:val="00CE29ED"/>
    <w:rsid w:val="00CE70FB"/>
    <w:rsid w:val="00D05FD5"/>
    <w:rsid w:val="00D06E4E"/>
    <w:rsid w:val="00D106B2"/>
    <w:rsid w:val="00D14214"/>
    <w:rsid w:val="00D16662"/>
    <w:rsid w:val="00D235DB"/>
    <w:rsid w:val="00D243F3"/>
    <w:rsid w:val="00D27F13"/>
    <w:rsid w:val="00D32453"/>
    <w:rsid w:val="00D33BFC"/>
    <w:rsid w:val="00D37BC4"/>
    <w:rsid w:val="00D53F83"/>
    <w:rsid w:val="00D56A31"/>
    <w:rsid w:val="00D61839"/>
    <w:rsid w:val="00D62104"/>
    <w:rsid w:val="00D669AF"/>
    <w:rsid w:val="00D8231E"/>
    <w:rsid w:val="00D82E8A"/>
    <w:rsid w:val="00D87CF3"/>
    <w:rsid w:val="00DA2959"/>
    <w:rsid w:val="00DA4D7F"/>
    <w:rsid w:val="00DB4ABA"/>
    <w:rsid w:val="00DB6937"/>
    <w:rsid w:val="00DC4F45"/>
    <w:rsid w:val="00DE1A61"/>
    <w:rsid w:val="00DE3547"/>
    <w:rsid w:val="00E01F83"/>
    <w:rsid w:val="00E036D2"/>
    <w:rsid w:val="00E07400"/>
    <w:rsid w:val="00E147BC"/>
    <w:rsid w:val="00E14FD5"/>
    <w:rsid w:val="00E1526C"/>
    <w:rsid w:val="00E20E3E"/>
    <w:rsid w:val="00E2153E"/>
    <w:rsid w:val="00E431C4"/>
    <w:rsid w:val="00E4395C"/>
    <w:rsid w:val="00E552AC"/>
    <w:rsid w:val="00E57D16"/>
    <w:rsid w:val="00E619A2"/>
    <w:rsid w:val="00E71FC4"/>
    <w:rsid w:val="00E72E63"/>
    <w:rsid w:val="00E91165"/>
    <w:rsid w:val="00E92B27"/>
    <w:rsid w:val="00E94A6F"/>
    <w:rsid w:val="00EA5956"/>
    <w:rsid w:val="00EA7274"/>
    <w:rsid w:val="00EB0318"/>
    <w:rsid w:val="00EB2670"/>
    <w:rsid w:val="00EB7A60"/>
    <w:rsid w:val="00EC22CF"/>
    <w:rsid w:val="00EE4197"/>
    <w:rsid w:val="00F02C3C"/>
    <w:rsid w:val="00F11299"/>
    <w:rsid w:val="00F15A9B"/>
    <w:rsid w:val="00F232EB"/>
    <w:rsid w:val="00F24E6A"/>
    <w:rsid w:val="00F32E49"/>
    <w:rsid w:val="00F55B6F"/>
    <w:rsid w:val="00F61362"/>
    <w:rsid w:val="00F617D3"/>
    <w:rsid w:val="00F66F46"/>
    <w:rsid w:val="00F7055D"/>
    <w:rsid w:val="00F721F1"/>
    <w:rsid w:val="00F84F20"/>
    <w:rsid w:val="00F90DA2"/>
    <w:rsid w:val="00F93C58"/>
    <w:rsid w:val="00F947B9"/>
    <w:rsid w:val="00FA749E"/>
    <w:rsid w:val="00FB2512"/>
    <w:rsid w:val="00FB2514"/>
    <w:rsid w:val="00FB5514"/>
    <w:rsid w:val="00FD47D4"/>
    <w:rsid w:val="00FE3A9B"/>
    <w:rsid w:val="00FF2096"/>
    <w:rsid w:val="00FF2610"/>
    <w:rsid w:val="00FF6D92"/>
    <w:rsid w:val="00FF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296D6"/>
  <w15:docId w15:val="{99BEB4F9-39DA-4F3E-94E1-F483023D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2C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92CA5"/>
    <w:rPr>
      <w:rFonts w:ascii="Consolas" w:hAnsi="Consolas"/>
      <w:sz w:val="21"/>
      <w:szCs w:val="21"/>
    </w:rPr>
  </w:style>
  <w:style w:type="character" w:styleId="Hyperlink">
    <w:name w:val="Hyperlink"/>
    <w:basedOn w:val="DefaultParagraphFont"/>
    <w:uiPriority w:val="99"/>
    <w:unhideWhenUsed/>
    <w:rsid w:val="000D2F4D"/>
    <w:rPr>
      <w:color w:val="0000FF"/>
      <w:u w:val="single"/>
    </w:rPr>
  </w:style>
  <w:style w:type="paragraph" w:styleId="Header">
    <w:name w:val="header"/>
    <w:basedOn w:val="Normal"/>
    <w:link w:val="HeaderChar"/>
    <w:uiPriority w:val="99"/>
    <w:rsid w:val="00435908"/>
    <w:pPr>
      <w:tabs>
        <w:tab w:val="center" w:pos="4320"/>
        <w:tab w:val="right" w:pos="8640"/>
      </w:tabs>
      <w:spacing w:after="0" w:line="240" w:lineRule="auto"/>
    </w:pPr>
    <w:rPr>
      <w:rFonts w:ascii="Futura Std Book" w:eastAsia="Times New Roman" w:hAnsi="Futura Std Book" w:cs="Times New Roman"/>
      <w:szCs w:val="20"/>
    </w:rPr>
  </w:style>
  <w:style w:type="character" w:customStyle="1" w:styleId="HeaderChar">
    <w:name w:val="Header Char"/>
    <w:basedOn w:val="DefaultParagraphFont"/>
    <w:link w:val="Header"/>
    <w:uiPriority w:val="99"/>
    <w:rsid w:val="00435908"/>
    <w:rPr>
      <w:rFonts w:ascii="Futura Std Book" w:eastAsia="Times New Roman" w:hAnsi="Futura Std Book" w:cs="Times New Roman"/>
      <w:szCs w:val="20"/>
    </w:rPr>
  </w:style>
  <w:style w:type="paragraph" w:customStyle="1" w:styleId="Default">
    <w:name w:val="Default"/>
    <w:rsid w:val="0043590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34914"/>
    <w:pPr>
      <w:spacing w:after="0" w:line="240" w:lineRule="auto"/>
      <w:ind w:left="720"/>
    </w:pPr>
    <w:rPr>
      <w:rFonts w:ascii="Calibri" w:eastAsia="Calibri" w:hAnsi="Calibri" w:cs="Times New Roman"/>
    </w:rPr>
  </w:style>
  <w:style w:type="paragraph" w:styleId="Footer">
    <w:name w:val="footer"/>
    <w:basedOn w:val="Normal"/>
    <w:link w:val="FooterChar"/>
    <w:uiPriority w:val="99"/>
    <w:unhideWhenUsed/>
    <w:rsid w:val="00800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EAB"/>
  </w:style>
  <w:style w:type="character" w:styleId="CommentReference">
    <w:name w:val="annotation reference"/>
    <w:basedOn w:val="DefaultParagraphFont"/>
    <w:uiPriority w:val="99"/>
    <w:semiHidden/>
    <w:unhideWhenUsed/>
    <w:rsid w:val="00233D13"/>
    <w:rPr>
      <w:sz w:val="16"/>
      <w:szCs w:val="16"/>
    </w:rPr>
  </w:style>
  <w:style w:type="paragraph" w:styleId="CommentText">
    <w:name w:val="annotation text"/>
    <w:basedOn w:val="Normal"/>
    <w:link w:val="CommentTextChar"/>
    <w:uiPriority w:val="99"/>
    <w:semiHidden/>
    <w:unhideWhenUsed/>
    <w:rsid w:val="00233D13"/>
    <w:pPr>
      <w:spacing w:line="240" w:lineRule="auto"/>
    </w:pPr>
    <w:rPr>
      <w:sz w:val="20"/>
      <w:szCs w:val="20"/>
    </w:rPr>
  </w:style>
  <w:style w:type="character" w:customStyle="1" w:styleId="CommentTextChar">
    <w:name w:val="Comment Text Char"/>
    <w:basedOn w:val="DefaultParagraphFont"/>
    <w:link w:val="CommentText"/>
    <w:uiPriority w:val="99"/>
    <w:semiHidden/>
    <w:rsid w:val="00233D13"/>
    <w:rPr>
      <w:sz w:val="20"/>
      <w:szCs w:val="20"/>
    </w:rPr>
  </w:style>
  <w:style w:type="paragraph" w:styleId="CommentSubject">
    <w:name w:val="annotation subject"/>
    <w:basedOn w:val="CommentText"/>
    <w:next w:val="CommentText"/>
    <w:link w:val="CommentSubjectChar"/>
    <w:uiPriority w:val="99"/>
    <w:semiHidden/>
    <w:unhideWhenUsed/>
    <w:rsid w:val="00233D13"/>
    <w:rPr>
      <w:b/>
      <w:bCs/>
    </w:rPr>
  </w:style>
  <w:style w:type="character" w:customStyle="1" w:styleId="CommentSubjectChar">
    <w:name w:val="Comment Subject Char"/>
    <w:basedOn w:val="CommentTextChar"/>
    <w:link w:val="CommentSubject"/>
    <w:uiPriority w:val="99"/>
    <w:semiHidden/>
    <w:rsid w:val="00233D13"/>
    <w:rPr>
      <w:b/>
      <w:bCs/>
      <w:sz w:val="20"/>
      <w:szCs w:val="20"/>
    </w:rPr>
  </w:style>
  <w:style w:type="paragraph" w:styleId="Revision">
    <w:name w:val="Revision"/>
    <w:hidden/>
    <w:uiPriority w:val="99"/>
    <w:semiHidden/>
    <w:rsid w:val="00233D13"/>
    <w:pPr>
      <w:spacing w:after="0" w:line="240" w:lineRule="auto"/>
    </w:pPr>
  </w:style>
  <w:style w:type="paragraph" w:styleId="BalloonText">
    <w:name w:val="Balloon Text"/>
    <w:basedOn w:val="Normal"/>
    <w:link w:val="BalloonTextChar"/>
    <w:uiPriority w:val="99"/>
    <w:semiHidden/>
    <w:unhideWhenUsed/>
    <w:rsid w:val="00233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D13"/>
    <w:rPr>
      <w:rFonts w:ascii="Tahoma" w:hAnsi="Tahoma" w:cs="Tahoma"/>
      <w:sz w:val="16"/>
      <w:szCs w:val="16"/>
    </w:rPr>
  </w:style>
  <w:style w:type="paragraph" w:styleId="FootnoteText">
    <w:name w:val="footnote text"/>
    <w:basedOn w:val="Normal"/>
    <w:link w:val="FootnoteTextChar"/>
    <w:uiPriority w:val="99"/>
    <w:semiHidden/>
    <w:unhideWhenUsed/>
    <w:rsid w:val="002D53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35E"/>
    <w:rPr>
      <w:sz w:val="20"/>
      <w:szCs w:val="20"/>
    </w:rPr>
  </w:style>
  <w:style w:type="character" w:styleId="FootnoteReference">
    <w:name w:val="footnote reference"/>
    <w:basedOn w:val="DefaultParagraphFont"/>
    <w:uiPriority w:val="99"/>
    <w:semiHidden/>
    <w:unhideWhenUsed/>
    <w:rsid w:val="002D535E"/>
    <w:rPr>
      <w:vertAlign w:val="superscript"/>
    </w:rPr>
  </w:style>
  <w:style w:type="paragraph" w:styleId="EndnoteText">
    <w:name w:val="endnote text"/>
    <w:basedOn w:val="Normal"/>
    <w:link w:val="EndnoteTextChar"/>
    <w:uiPriority w:val="99"/>
    <w:semiHidden/>
    <w:unhideWhenUsed/>
    <w:rsid w:val="009026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26AE"/>
    <w:rPr>
      <w:sz w:val="20"/>
      <w:szCs w:val="20"/>
    </w:rPr>
  </w:style>
  <w:style w:type="character" w:styleId="EndnoteReference">
    <w:name w:val="endnote reference"/>
    <w:basedOn w:val="DefaultParagraphFont"/>
    <w:uiPriority w:val="99"/>
    <w:semiHidden/>
    <w:unhideWhenUsed/>
    <w:rsid w:val="009026AE"/>
    <w:rPr>
      <w:vertAlign w:val="superscript"/>
    </w:rPr>
  </w:style>
  <w:style w:type="character" w:styleId="PageNumber">
    <w:name w:val="page number"/>
    <w:basedOn w:val="DefaultParagraphFont"/>
    <w:rsid w:val="00D243F3"/>
  </w:style>
  <w:style w:type="character" w:styleId="UnresolvedMention">
    <w:name w:val="Unresolved Mention"/>
    <w:basedOn w:val="DefaultParagraphFont"/>
    <w:uiPriority w:val="99"/>
    <w:semiHidden/>
    <w:unhideWhenUsed/>
    <w:rsid w:val="003B7873"/>
    <w:rPr>
      <w:color w:val="808080"/>
      <w:shd w:val="clear" w:color="auto" w:fill="E6E6E6"/>
    </w:rPr>
  </w:style>
  <w:style w:type="character" w:styleId="FollowedHyperlink">
    <w:name w:val="FollowedHyperlink"/>
    <w:basedOn w:val="DefaultParagraphFont"/>
    <w:uiPriority w:val="99"/>
    <w:semiHidden/>
    <w:unhideWhenUsed/>
    <w:rsid w:val="00E94A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wmedms.dep.state.fl.us/Oculus/servlet/login"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dwmedms.dep.state.fl.us/Oculus/servlet/log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dor.myflorida.com/dor/property/appraiser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E590E-AEF7-490B-9842-020E8DA7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swd fdep</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swd_user</dc:creator>
  <cp:lastModifiedBy>Landon, John</cp:lastModifiedBy>
  <cp:revision>4</cp:revision>
  <cp:lastPrinted>2012-05-02T17:38:00Z</cp:lastPrinted>
  <dcterms:created xsi:type="dcterms:W3CDTF">2019-06-11T13:21:00Z</dcterms:created>
  <dcterms:modified xsi:type="dcterms:W3CDTF">2019-06-11T14:34:00Z</dcterms:modified>
</cp:coreProperties>
</file>